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1FE35">
      <w:pPr>
        <w:pStyle w:val="13"/>
        <w:rPr>
          <w:snapToGrid w:val="0"/>
          <w:color w:val="000000"/>
        </w:rPr>
      </w:pPr>
      <w:bookmarkStart w:id="0" w:name="SectionMark0"/>
      <w:r>
        <w:rPr>
          <w:snapToGrid w:val="0"/>
          <w:color w:val="000000"/>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3635375</wp:posOffset>
                </wp:positionV>
                <wp:extent cx="5969000" cy="3071495"/>
                <wp:effectExtent l="0" t="0" r="12700" b="14605"/>
                <wp:wrapNone/>
                <wp:docPr id="3" name="文本框 3"/>
                <wp:cNvGraphicFramePr/>
                <a:graphic xmlns:a="http://schemas.openxmlformats.org/drawingml/2006/main">
                  <a:graphicData uri="http://schemas.microsoft.com/office/word/2010/wordprocessingShape">
                    <wps:wsp>
                      <wps:cNvSpPr txBox="1"/>
                      <wps:spPr>
                        <a:xfrm>
                          <a:off x="0" y="0"/>
                          <a:ext cx="5969000" cy="3071495"/>
                        </a:xfrm>
                        <a:prstGeom prst="rect">
                          <a:avLst/>
                        </a:prstGeom>
                        <a:solidFill>
                          <a:srgbClr val="FFFFFF"/>
                        </a:solidFill>
                        <a:ln>
                          <a:noFill/>
                        </a:ln>
                      </wps:spPr>
                      <wps:txbx>
                        <w:txbxContent>
                          <w:p w14:paraId="43BF5798">
                            <w:pPr>
                              <w:spacing w:before="169" w:line="955" w:lineRule="exact"/>
                              <w:jc w:val="center"/>
                              <w:rPr>
                                <w:rFonts w:hint="eastAsia" w:ascii="黑体" w:hAnsi="黑体" w:eastAsia="黑体" w:cs="黑体"/>
                                <w:spacing w:val="-2"/>
                                <w:position w:val="31"/>
                                <w:sz w:val="52"/>
                                <w:szCs w:val="52"/>
                              </w:rPr>
                            </w:pPr>
                            <w:r>
                              <w:rPr>
                                <w:rFonts w:hint="eastAsia" w:ascii="黑体" w:hAnsi="黑体" w:eastAsia="黑体" w:cs="黑体"/>
                                <w:spacing w:val="-2"/>
                                <w:position w:val="31"/>
                                <w:sz w:val="52"/>
                                <w:szCs w:val="52"/>
                              </w:rPr>
                              <w:t>食品安全地方标准</w:t>
                            </w:r>
                          </w:p>
                          <w:p w14:paraId="1E90437A">
                            <w:pPr>
                              <w:pStyle w:val="18"/>
                              <w:rPr>
                                <w:rFonts w:hint="eastAsia" w:ascii="黑体" w:hAnsi="黑体" w:eastAsia="黑体" w:cs="黑体"/>
                                <w:spacing w:val="-2"/>
                                <w:position w:val="31"/>
                                <w:sz w:val="44"/>
                                <w:szCs w:val="44"/>
                              </w:rPr>
                            </w:pPr>
                            <w:r>
                              <w:rPr>
                                <w:rFonts w:hint="eastAsia" w:ascii="黑体" w:hAnsi="黑体" w:eastAsia="黑体" w:cs="黑体"/>
                                <w:spacing w:val="-2"/>
                                <w:position w:val="31"/>
                                <w:sz w:val="44"/>
                                <w:szCs w:val="44"/>
                              </w:rPr>
                              <w:t>罗汉参</w:t>
                            </w:r>
                          </w:p>
                          <w:p w14:paraId="04282984">
                            <w:pPr>
                              <w:pStyle w:val="18"/>
                              <w:spacing w:before="0" w:line="240" w:lineRule="auto"/>
                              <w:rPr>
                                <w:rFonts w:hint="eastAsia" w:ascii="楷体_GB2312" w:hAnsi="楷体_GB2312" w:eastAsia="楷体_GB2312" w:cs="楷体_GB2312"/>
                                <w:spacing w:val="-2"/>
                                <w:position w:val="31"/>
                                <w:sz w:val="36"/>
                                <w:szCs w:val="36"/>
                              </w:rPr>
                            </w:pPr>
                          </w:p>
                          <w:p w14:paraId="5BB08C44">
                            <w:pPr>
                              <w:pStyle w:val="18"/>
                              <w:rPr>
                                <w:sz w:val="44"/>
                                <w:szCs w:val="44"/>
                              </w:rPr>
                            </w:pPr>
                          </w:p>
                          <w:p w14:paraId="10D6BAD4">
                            <w:pPr>
                              <w:pStyle w:val="18"/>
                              <w:rPr>
                                <w:sz w:val="32"/>
                                <w:szCs w:val="32"/>
                              </w:rPr>
                            </w:pPr>
                            <w:r>
                              <w:rPr>
                                <w:rFonts w:hint="eastAsia"/>
                                <w:color w:val="FF0000"/>
                              </w:rPr>
                              <w:t xml:space="preserve"> </w:t>
                            </w:r>
                          </w:p>
                          <w:p w14:paraId="18CA23F8">
                            <w:pPr>
                              <w:pStyle w:val="19"/>
                            </w:pPr>
                          </w:p>
                          <w:p w14:paraId="1DD2A97A">
                            <w:pPr>
                              <w:pStyle w:val="20"/>
                            </w:pPr>
                          </w:p>
                          <w:p w14:paraId="35BC72A1">
                            <w:pPr>
                              <w:pStyle w:val="21"/>
                            </w:pPr>
                          </w:p>
                        </w:txbxContent>
                      </wps:txbx>
                      <wps:bodyPr lIns="0" tIns="0" rIns="0" bIns="0" upright="1"/>
                    </wps:wsp>
                  </a:graphicData>
                </a:graphic>
              </wp:anchor>
            </w:drawing>
          </mc:Choice>
          <mc:Fallback>
            <w:pict>
              <v:shape id="_x0000_s1026" o:spid="_x0000_s1026" o:spt="202" type="#_x0000_t202" style="position:absolute;left:0pt;margin-left:0pt;margin-top:286.25pt;height:241.85pt;width:470pt;mso-position-horizontal-relative:margin;mso-position-vertical-relative:margin;z-index:251661312;mso-width-relative:page;mso-height-relative:page;" fillcolor="#FFFFFF" filled="t" stroked="f" coordsize="21600,21600" o:gfxdata="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qA0YfYAAAACQEAAA8AAAAAAAAAAQAgAAAAIgAA&#10;AGRycy9kb3ducmV2LnhtbFBLAQIUABQAAAAIAIdO4kBCpqIxzwEAAJwDAAAOAAAAAAAAAAEAIAAA&#10;ACcBAABkcnMvZTJvRG9jLnhtbFBLBQYAAAAABgAGAFkBAABoBQAAAAA=&#10;">
                <v:fill on="t" focussize="0,0"/>
                <v:stroke on="f"/>
                <v:imagedata o:title=""/>
                <o:lock v:ext="edit" aspectratio="f"/>
                <v:textbox inset="0mm,0mm,0mm,0mm">
                  <w:txbxContent>
                    <w:p w14:paraId="43BF5798">
                      <w:pPr>
                        <w:spacing w:before="169" w:line="955" w:lineRule="exact"/>
                        <w:jc w:val="center"/>
                        <w:rPr>
                          <w:rFonts w:hint="eastAsia" w:ascii="黑体" w:hAnsi="黑体" w:eastAsia="黑体" w:cs="黑体"/>
                          <w:spacing w:val="-2"/>
                          <w:position w:val="31"/>
                          <w:sz w:val="52"/>
                          <w:szCs w:val="52"/>
                        </w:rPr>
                      </w:pPr>
                      <w:r>
                        <w:rPr>
                          <w:rFonts w:hint="eastAsia" w:ascii="黑体" w:hAnsi="黑体" w:eastAsia="黑体" w:cs="黑体"/>
                          <w:spacing w:val="-2"/>
                          <w:position w:val="31"/>
                          <w:sz w:val="52"/>
                          <w:szCs w:val="52"/>
                        </w:rPr>
                        <w:t>食品安全地方标准</w:t>
                      </w:r>
                    </w:p>
                    <w:p w14:paraId="1E90437A">
                      <w:pPr>
                        <w:pStyle w:val="18"/>
                        <w:rPr>
                          <w:rFonts w:hint="eastAsia" w:ascii="黑体" w:hAnsi="黑体" w:eastAsia="黑体" w:cs="黑体"/>
                          <w:spacing w:val="-2"/>
                          <w:position w:val="31"/>
                          <w:sz w:val="44"/>
                          <w:szCs w:val="44"/>
                        </w:rPr>
                      </w:pPr>
                      <w:r>
                        <w:rPr>
                          <w:rFonts w:hint="eastAsia" w:ascii="黑体" w:hAnsi="黑体" w:eastAsia="黑体" w:cs="黑体"/>
                          <w:spacing w:val="-2"/>
                          <w:position w:val="31"/>
                          <w:sz w:val="44"/>
                          <w:szCs w:val="44"/>
                        </w:rPr>
                        <w:t>罗汉参</w:t>
                      </w:r>
                    </w:p>
                    <w:p w14:paraId="04282984">
                      <w:pPr>
                        <w:pStyle w:val="18"/>
                        <w:spacing w:before="0" w:line="240" w:lineRule="auto"/>
                        <w:rPr>
                          <w:rFonts w:hint="eastAsia" w:ascii="楷体_GB2312" w:hAnsi="楷体_GB2312" w:eastAsia="楷体_GB2312" w:cs="楷体_GB2312"/>
                          <w:spacing w:val="-2"/>
                          <w:position w:val="31"/>
                          <w:sz w:val="36"/>
                          <w:szCs w:val="36"/>
                        </w:rPr>
                      </w:pPr>
                    </w:p>
                    <w:p w14:paraId="5BB08C44">
                      <w:pPr>
                        <w:pStyle w:val="18"/>
                        <w:rPr>
                          <w:sz w:val="44"/>
                          <w:szCs w:val="44"/>
                        </w:rPr>
                      </w:pPr>
                    </w:p>
                    <w:p w14:paraId="10D6BAD4">
                      <w:pPr>
                        <w:pStyle w:val="18"/>
                        <w:rPr>
                          <w:sz w:val="32"/>
                          <w:szCs w:val="32"/>
                        </w:rPr>
                      </w:pPr>
                      <w:r>
                        <w:rPr>
                          <w:rFonts w:hint="eastAsia"/>
                          <w:color w:val="FF0000"/>
                        </w:rPr>
                        <w:t xml:space="preserve"> </w:t>
                      </w:r>
                    </w:p>
                    <w:p w14:paraId="18CA23F8">
                      <w:pPr>
                        <w:pStyle w:val="19"/>
                      </w:pPr>
                    </w:p>
                    <w:p w14:paraId="1DD2A97A">
                      <w:pPr>
                        <w:pStyle w:val="20"/>
                      </w:pPr>
                    </w:p>
                    <w:p w14:paraId="35BC72A1">
                      <w:pPr>
                        <w:pStyle w:val="21"/>
                      </w:pPr>
                    </w:p>
                  </w:txbxContent>
                </v:textbox>
                <w10:anchorlock/>
              </v:shape>
            </w:pict>
          </mc:Fallback>
        </mc:AlternateContent>
      </w:r>
      <w:r>
        <w:rPr>
          <w:snapToGrid w:val="0"/>
          <w:color w:val="000000"/>
        </w:rPr>
        <mc:AlternateContent>
          <mc:Choice Requires="wps">
            <w:drawing>
              <wp:anchor distT="0" distB="0" distL="114300" distR="114300" simplePos="0" relativeHeight="251660288" behindDoc="0" locked="1" layoutInCell="1" allowOverlap="1">
                <wp:simplePos x="0" y="0"/>
                <wp:positionH relativeFrom="margin">
                  <wp:posOffset>-81280</wp:posOffset>
                </wp:positionH>
                <wp:positionV relativeFrom="margin">
                  <wp:posOffset>1202055</wp:posOffset>
                </wp:positionV>
                <wp:extent cx="6120130" cy="438785"/>
                <wp:effectExtent l="0" t="0" r="13970" b="18415"/>
                <wp:wrapNone/>
                <wp:docPr id="2" name="文本框 2"/>
                <wp:cNvGraphicFramePr/>
                <a:graphic xmlns:a="http://schemas.openxmlformats.org/drawingml/2006/main">
                  <a:graphicData uri="http://schemas.microsoft.com/office/word/2010/wordprocessingShape">
                    <wps:wsp>
                      <wps:cNvSpPr txBox="1"/>
                      <wps:spPr>
                        <a:xfrm>
                          <a:off x="0" y="0"/>
                          <a:ext cx="6120130" cy="438785"/>
                        </a:xfrm>
                        <a:prstGeom prst="rect">
                          <a:avLst/>
                        </a:prstGeom>
                        <a:solidFill>
                          <a:srgbClr val="FFFFFF"/>
                        </a:solidFill>
                        <a:ln>
                          <a:noFill/>
                        </a:ln>
                      </wps:spPr>
                      <wps:txbx>
                        <w:txbxContent>
                          <w:p w14:paraId="53DD9B06">
                            <w:pPr>
                              <w:pStyle w:val="22"/>
                              <w:rPr>
                                <w:rFonts w:hint="eastAsia"/>
                              </w:rPr>
                            </w:pPr>
                            <w:r>
                              <w:rPr>
                                <w:rFonts w:hint="eastAsia"/>
                              </w:rPr>
                              <w:t>山东省食品安全地方标准</w:t>
                            </w:r>
                          </w:p>
                        </w:txbxContent>
                      </wps:txbx>
                      <wps:bodyPr wrap="square" lIns="0" tIns="0" rIns="0" bIns="0" upright="1"/>
                    </wps:wsp>
                  </a:graphicData>
                </a:graphic>
              </wp:anchor>
            </w:drawing>
          </mc:Choice>
          <mc:Fallback>
            <w:pict>
              <v:shape id="_x0000_s1026" o:spid="_x0000_s1026" o:spt="202" type="#_x0000_t202" style="position:absolute;left:0pt;margin-left:-6.4pt;margin-top:94.65pt;height:34.55pt;width:481.9pt;mso-position-horizontal-relative:margin;mso-position-vertical-relative:margin;z-index:251660288;mso-width-relative:page;mso-height-relative:page;" fillcolor="#FFFFFF" filled="t" stroked="f" coordsize="21600,21600" o:gfxdata="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6gNZ2gAAAAsBAAAPAAAAAAAA&#10;AAEAIAAAACIAAABkcnMvZG93bnJldi54bWxQSwECFAAUAAAACACHTuJAfbetjtcBAACpAwAADgAA&#10;AAAAAAABACAAAAApAQAAZHJzL2Uyb0RvYy54bWxQSwUGAAAAAAYABgBZAQAAcgUAAAAA&#10;">
                <v:fill on="t" focussize="0,0"/>
                <v:stroke on="f"/>
                <v:imagedata o:title=""/>
                <o:lock v:ext="edit" aspectratio="f"/>
                <v:textbox inset="0mm,0mm,0mm,0mm">
                  <w:txbxContent>
                    <w:p w14:paraId="53DD9B06">
                      <w:pPr>
                        <w:pStyle w:val="22"/>
                        <w:rPr>
                          <w:rFonts w:hint="eastAsia"/>
                        </w:rPr>
                      </w:pPr>
                      <w:r>
                        <w:rPr>
                          <w:rFonts w:hint="eastAsia"/>
                        </w:rPr>
                        <w:t>山东省食品安全地方标准</w:t>
                      </w:r>
                    </w:p>
                  </w:txbxContent>
                </v:textbox>
                <w10:anchorlock/>
              </v:shape>
            </w:pict>
          </mc:Fallback>
        </mc:AlternateContent>
      </w:r>
      <w:bookmarkEnd w:id="0"/>
    </w:p>
    <w:p w14:paraId="20121D29">
      <w:pPr>
        <w:pStyle w:val="3"/>
        <w:overflowPunct w:val="0"/>
        <w:spacing w:before="39"/>
        <w:ind w:firstLine="4994" w:firstLineChars="400"/>
        <w:rPr>
          <w:rFonts w:hint="default" w:eastAsia="宋体"/>
          <w:b/>
          <w:w w:val="130"/>
          <w:sz w:val="96"/>
        </w:rPr>
      </w:pPr>
      <w:r>
        <w:rPr>
          <w:rFonts w:hint="default" w:eastAsia="Times New Roman"/>
          <w:b/>
          <w:w w:val="130"/>
          <w:sz w:val="96"/>
        </w:rPr>
        <w:t>DBS</w:t>
      </w:r>
      <w:r>
        <w:rPr>
          <w:rFonts w:eastAsia="宋体"/>
          <w:b/>
          <w:w w:val="130"/>
          <w:sz w:val="96"/>
        </w:rPr>
        <w:t>37</w:t>
      </w:r>
    </w:p>
    <w:p w14:paraId="71F56291">
      <w:pPr>
        <w:pStyle w:val="2"/>
        <w:tabs>
          <w:tab w:val="clear" w:pos="360"/>
        </w:tabs>
        <w:overflowPunct w:val="0"/>
        <w:jc w:val="right"/>
        <w:rPr>
          <w:rFonts w:ascii="Times New Roman" w:hAnsi="Times New Roman" w:eastAsia="Times New Roman"/>
          <w:sz w:val="28"/>
          <w:szCs w:val="24"/>
        </w:rPr>
      </w:pPr>
    </w:p>
    <w:p w14:paraId="6DD3491D">
      <w:pPr>
        <w:pStyle w:val="2"/>
        <w:tabs>
          <w:tab w:val="clear" w:pos="360"/>
        </w:tabs>
        <w:overflowPunct w:val="0"/>
        <w:ind w:firstLine="6104" w:firstLineChars="1900"/>
        <w:jc w:val="both"/>
        <w:rPr>
          <w:rFonts w:hint="eastAsia" w:ascii="黑体" w:hAnsi="黑体" w:cs="黑体"/>
          <w:sz w:val="28"/>
          <w:szCs w:val="24"/>
        </w:rPr>
      </w:pPr>
      <w:r>
        <mc:AlternateContent>
          <mc:Choice Requires="wps">
            <w:drawing>
              <wp:anchor distT="0" distB="0" distL="114300" distR="114300" simplePos="0" relativeHeight="251662336" behindDoc="0" locked="0" layoutInCell="1" allowOverlap="1">
                <wp:simplePos x="0" y="0"/>
                <wp:positionH relativeFrom="column">
                  <wp:posOffset>63500</wp:posOffset>
                </wp:positionH>
                <wp:positionV relativeFrom="paragraph">
                  <wp:posOffset>359410</wp:posOffset>
                </wp:positionV>
                <wp:extent cx="61214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_x0000_s1026" o:spid="_x0000_s1026" o:spt="20" style="position:absolute;left:0pt;margin-left:5pt;margin-top:28.3pt;height:0pt;width:482pt;z-index:251662336;mso-width-relative:page;mso-height-relative:page;" filled="f" stroked="t" coordsize="21600,21600" o:gfxdata="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v9&#10;DiHUAAAACAEAAA8AAAAAAAAAAQAgAAAAIgAAAGRycy9kb3ducmV2LnhtbFBLAQIUABQAAAAIAIdO&#10;4kCet34W7gEAANkDAAAOAAAAAAAAAAEAIAAAACMBAABkcnMvZTJvRG9jLnhtbFBLBQYAAAAABgAG&#10;AFkBAACDBQAAAAA=&#10;">
                <v:fill on="f" focussize="0,0"/>
                <v:stroke weight="1pt" color="#800008" joinstyle="round"/>
                <v:imagedata o:title=""/>
                <o:lock v:ext="edit" aspectratio="f"/>
              </v:line>
            </w:pict>
          </mc:Fallback>
        </mc:AlternateContent>
      </w:r>
      <w:r>
        <w:rPr>
          <w:rFonts w:hint="eastAsia"/>
        </w:rPr>
        <w:t xml:space="preserve">    </w:t>
      </w:r>
      <w:r>
        <w:rPr>
          <w:rFonts w:hint="eastAsia" w:ascii="Times New Roman" w:hAnsi="Times New Roman" w:eastAsia="宋体"/>
          <w:sz w:val="28"/>
          <w:szCs w:val="24"/>
        </w:rPr>
        <w:t>D</w:t>
      </w:r>
      <w:r>
        <w:rPr>
          <w:rFonts w:hint="eastAsia" w:ascii="Times New Roman" w:hAnsi="Times New Roman" w:eastAsia="宋体" w:cs="Times New Roman"/>
          <w:sz w:val="28"/>
          <w:szCs w:val="24"/>
        </w:rPr>
        <w:t>BS</w:t>
      </w:r>
      <w:r>
        <w:rPr>
          <w:rFonts w:ascii="Times New Roman" w:hAnsi="Times New Roman" w:eastAsia="Times New Roman"/>
          <w:b w:val="0"/>
          <w:bCs w:val="0"/>
          <w:sz w:val="28"/>
          <w:szCs w:val="24"/>
        </w:rPr>
        <w:t xml:space="preserve"> </w:t>
      </w:r>
      <w:r>
        <w:rPr>
          <w:rFonts w:hint="eastAsia" w:ascii="黑体" w:hAnsi="黑体" w:cs="黑体"/>
          <w:b w:val="0"/>
          <w:bCs w:val="0"/>
          <w:sz w:val="28"/>
          <w:szCs w:val="24"/>
        </w:rPr>
        <w:t>37/006-2026</w:t>
      </w:r>
    </w:p>
    <w:p w14:paraId="5DA8C1DD">
      <w:pPr>
        <w:pStyle w:val="14"/>
        <w:rPr>
          <w:snapToGrid w:val="0"/>
          <w:color w:val="000000"/>
        </w:rPr>
      </w:pPr>
    </w:p>
    <w:p w14:paraId="2E221D84">
      <w:pPr>
        <w:pStyle w:val="16"/>
        <w:ind w:firstLine="420"/>
      </w:pPr>
    </w:p>
    <w:p w14:paraId="6DD32FCF">
      <w:pPr>
        <w:pStyle w:val="14"/>
        <w:rPr>
          <w:snapToGrid w:val="0"/>
          <w:color w:val="000000"/>
        </w:rPr>
      </w:pPr>
    </w:p>
    <w:p w14:paraId="59DE16C0">
      <w:pPr>
        <w:pStyle w:val="14"/>
        <w:rPr>
          <w:snapToGrid w:val="0"/>
          <w:color w:val="000000"/>
        </w:rPr>
      </w:pPr>
    </w:p>
    <w:p w14:paraId="381BBC03">
      <w:pPr>
        <w:pStyle w:val="14"/>
        <w:rPr>
          <w:snapToGrid w:val="0"/>
          <w:color w:val="000000"/>
        </w:rPr>
      </w:pPr>
    </w:p>
    <w:p w14:paraId="1B088706">
      <w:pPr>
        <w:pStyle w:val="14"/>
        <w:rPr>
          <w:snapToGrid w:val="0"/>
          <w:color w:val="000000"/>
        </w:rPr>
      </w:pPr>
    </w:p>
    <w:p w14:paraId="3130B30B">
      <w:pPr>
        <w:tabs>
          <w:tab w:val="left" w:pos="360"/>
        </w:tabs>
        <w:spacing w:after="156" w:afterLines="50" w:line="360" w:lineRule="auto"/>
        <w:rPr>
          <w:rFonts w:eastAsia="黑体"/>
          <w:bCs/>
          <w:sz w:val="32"/>
          <w:szCs w:val="32"/>
        </w:rPr>
      </w:pPr>
      <w:r>
        <w:tab/>
      </w:r>
    </w:p>
    <w:p w14:paraId="345179E0">
      <w:pPr>
        <w:pStyle w:val="14"/>
        <w:jc w:val="both"/>
        <w:rPr>
          <w:rFonts w:ascii="Times New Roman"/>
          <w:snapToGrid w:val="0"/>
          <w:color w:val="000000"/>
          <w:sz w:val="28"/>
          <w:szCs w:val="28"/>
        </w:rPr>
      </w:pPr>
    </w:p>
    <w:p w14:paraId="34BD47CA">
      <w:pPr>
        <w:pStyle w:val="14"/>
        <w:ind w:firstLine="560" w:firstLineChars="200"/>
        <w:jc w:val="both"/>
        <w:rPr>
          <w:rFonts w:ascii="Times New Roman"/>
          <w:sz w:val="28"/>
          <w:szCs w:val="28"/>
        </w:rPr>
      </w:pPr>
      <w:r>
        <w:rPr>
          <w:rFonts w:ascii="Times New Roman"/>
          <w:snapToGrid w:val="0"/>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-142875</wp:posOffset>
                </wp:positionH>
                <wp:positionV relativeFrom="paragraph">
                  <wp:posOffset>547370</wp:posOffset>
                </wp:positionV>
                <wp:extent cx="5921375"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921375" cy="635"/>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id="_x0000_s1026" o:spid="_x0000_s1026" o:spt="20" style="position:absolute;left:0pt;margin-left:-11.25pt;margin-top:43.1pt;height:0.05pt;width:466.25pt;z-index:251663360;mso-width-relative:page;mso-height-relative:page;" filled="f" stroked="t" coordsize="21600,21600" o:gfxdata="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SiL5/WAAAACQEAAA8AAAAAAAAAAQAgAAAAIgAAAGRycy9kb3ducmV2LnhtbFBLAQIUABQA&#10;AAAIAIdO4kCfNeLz8gEAANsDAAAOAAAAAAAAAAEAIAAAACUBAABkcnMvZTJvRG9jLnhtbFBLBQYA&#10;AAAABgAGAFkBAACJBQAAAAA=&#10;">
                <v:fill on="f" focussize="0,0"/>
                <v:stroke weight="1pt" color="#800008" joinstyle="round"/>
                <v:imagedata o:title=""/>
                <o:lock v:ext="edit" aspectratio="f"/>
              </v:line>
            </w:pict>
          </mc:Fallback>
        </mc:AlternateContent>
      </w:r>
      <w:r>
        <w:rPr>
          <w:rFonts w:hint="eastAsia" w:ascii="Times New Roman"/>
          <w:snapToGrid w:val="0"/>
          <w:color w:val="000000"/>
          <w:sz w:val="28"/>
          <w:szCs w:val="28"/>
        </w:rPr>
        <w:t>2026</w:t>
      </w:r>
      <w:r>
        <w:rPr>
          <w:rFonts w:ascii="Times New Roman"/>
          <w:snapToGrid w:val="0"/>
          <w:color w:val="000000"/>
          <w:sz w:val="28"/>
          <w:szCs w:val="28"/>
        </w:rPr>
        <w:t>-</w:t>
      </w:r>
      <w:r>
        <w:rPr>
          <w:rFonts w:hint="eastAsia" w:ascii="Times New Roman"/>
          <w:snapToGrid w:val="0"/>
          <w:color w:val="000000"/>
          <w:sz w:val="28"/>
          <w:szCs w:val="28"/>
        </w:rPr>
        <w:t>05</w:t>
      </w:r>
      <w:r>
        <w:rPr>
          <w:rFonts w:ascii="Times New Roman"/>
          <w:snapToGrid w:val="0"/>
          <w:color w:val="000000"/>
          <w:sz w:val="28"/>
          <w:szCs w:val="28"/>
        </w:rPr>
        <w:t>-</w:t>
      </w:r>
      <w:r>
        <w:rPr>
          <w:rFonts w:hint="eastAsia" w:ascii="Times New Roman"/>
          <w:snapToGrid w:val="0"/>
          <w:color w:val="000000"/>
          <w:sz w:val="28"/>
          <w:szCs w:val="28"/>
          <w:lang w:val="en-US" w:eastAsia="zh-CN"/>
        </w:rPr>
        <w:t xml:space="preserve">06 </w:t>
      </w:r>
      <w:r>
        <w:rPr>
          <w:rFonts w:ascii="Times New Roman"/>
          <w:sz w:val="28"/>
          <w:szCs w:val="28"/>
        </w:rPr>
        <w:t xml:space="preserve">发布                           </w:t>
      </w:r>
      <w:r>
        <w:rPr>
          <w:rFonts w:hint="eastAsia" w:ascii="Times New Roman"/>
          <w:sz w:val="28"/>
          <w:szCs w:val="28"/>
        </w:rPr>
        <w:t xml:space="preserve">  </w:t>
      </w:r>
      <w:r>
        <w:rPr>
          <w:rFonts w:hint="eastAsia" w:ascii="Times New Roman"/>
          <w:sz w:val="28"/>
          <w:szCs w:val="28"/>
          <w:lang w:val="en-US" w:eastAsia="zh-CN"/>
        </w:rPr>
        <w:t xml:space="preserve">       </w:t>
      </w:r>
      <w:r>
        <w:rPr>
          <w:rFonts w:hint="eastAsia" w:ascii="Times New Roman"/>
          <w:sz w:val="28"/>
          <w:szCs w:val="28"/>
        </w:rPr>
        <w:t xml:space="preserve">     </w:t>
      </w:r>
      <w:r>
        <w:rPr>
          <w:rFonts w:ascii="Times New Roman"/>
          <w:sz w:val="28"/>
          <w:szCs w:val="28"/>
        </w:rPr>
        <w:t xml:space="preserve"> </w:t>
      </w:r>
      <w:r>
        <w:rPr>
          <w:rFonts w:hint="eastAsia" w:ascii="Times New Roman"/>
          <w:sz w:val="28"/>
          <w:szCs w:val="28"/>
        </w:rPr>
        <w:t>2026</w:t>
      </w:r>
      <w:r>
        <w:rPr>
          <w:rFonts w:ascii="Times New Roman"/>
          <w:sz w:val="28"/>
          <w:szCs w:val="28"/>
        </w:rPr>
        <w:t>-</w:t>
      </w:r>
      <w:r>
        <w:rPr>
          <w:rFonts w:hint="eastAsia" w:ascii="Times New Roman"/>
          <w:sz w:val="28"/>
          <w:szCs w:val="28"/>
        </w:rPr>
        <w:t>0</w:t>
      </w:r>
      <w:r>
        <w:rPr>
          <w:rFonts w:hint="eastAsia" w:ascii="Times New Roman"/>
          <w:sz w:val="28"/>
          <w:szCs w:val="28"/>
          <w:lang w:val="en-US" w:eastAsia="zh-CN"/>
        </w:rPr>
        <w:t>6</w:t>
      </w:r>
      <w:r>
        <w:rPr>
          <w:rFonts w:ascii="Times New Roman"/>
          <w:sz w:val="28"/>
          <w:szCs w:val="28"/>
        </w:rPr>
        <w:t>-</w:t>
      </w:r>
      <w:r>
        <w:rPr>
          <w:rFonts w:hint="eastAsia" w:ascii="Times New Roman"/>
          <w:sz w:val="28"/>
          <w:szCs w:val="28"/>
          <w:lang w:val="en-US" w:eastAsia="zh-CN"/>
        </w:rPr>
        <w:t>06</w:t>
      </w:r>
      <w:bookmarkStart w:id="10" w:name="_GoBack"/>
      <w:bookmarkEnd w:id="10"/>
      <w:r>
        <w:rPr>
          <w:rFonts w:ascii="Times New Roman"/>
          <w:sz w:val="28"/>
          <w:szCs w:val="28"/>
        </w:rPr>
        <w:t>实施</w:t>
      </w:r>
    </w:p>
    <w:p w14:paraId="5C77D9D0">
      <w:pPr>
        <w:pStyle w:val="14"/>
        <w:ind w:firstLine="1767" w:firstLineChars="400"/>
        <w:jc w:val="both"/>
        <w:rPr>
          <w:sz w:val="28"/>
          <w:szCs w:val="28"/>
        </w:rPr>
        <w:sectPr>
          <w:headerReference r:id="rId5" w:type="first"/>
          <w:footerReference r:id="rId8" w:type="first"/>
          <w:headerReference r:id="rId3" w:type="default"/>
          <w:footerReference r:id="rId6" w:type="default"/>
          <w:headerReference r:id="rId4" w:type="even"/>
          <w:footerReference r:id="rId7" w:type="even"/>
          <w:pgSz w:w="11907" w:h="16839"/>
          <w:pgMar w:top="1418" w:right="1134" w:bottom="1134" w:left="1418" w:header="1418" w:footer="851" w:gutter="0"/>
          <w:pgNumType w:start="1"/>
          <w:cols w:space="720" w:num="1"/>
          <w:titlePg/>
          <w:docGrid w:type="lines" w:linePitch="312" w:charSpace="0"/>
        </w:sectPr>
      </w:pPr>
      <w:r>
        <w:rPr>
          <w:rFonts w:hint="eastAsia" w:ascii="宋体" w:hAnsi="宋体" w:eastAsia="宋体" w:cs="宋体"/>
          <w:b/>
          <w:bCs/>
          <w:sz w:val="44"/>
          <w:szCs w:val="44"/>
        </w:rPr>
        <w:t>山东省卫生健康委员会</w:t>
      </w:r>
      <w:r>
        <w:rPr>
          <w:rFonts w:hint="eastAsia"/>
          <w:sz w:val="36"/>
          <w:szCs w:val="36"/>
        </w:rPr>
        <w:t xml:space="preserve">  </w:t>
      </w:r>
      <w:r>
        <w:rPr>
          <w:rFonts w:hint="eastAsia"/>
          <w:spacing w:val="20"/>
          <w:w w:val="135"/>
          <w:sz w:val="28"/>
          <w:szCs w:val="28"/>
        </w:rPr>
        <w:t>发布</w:t>
      </w:r>
    </w:p>
    <w:p w14:paraId="7CEBDAB3">
      <w:pPr>
        <w:spacing w:before="42" w:line="265" w:lineRule="exact"/>
        <w:jc w:val="both"/>
        <w:rPr>
          <w:rFonts w:hint="eastAsia" w:ascii="黑体" w:hAnsi="黑体" w:eastAsia="黑体" w:cs="黑体"/>
          <w:sz w:val="20"/>
          <w:szCs w:val="20"/>
        </w:rPr>
      </w:pPr>
    </w:p>
    <w:p w14:paraId="7F31F292">
      <w:pPr>
        <w:spacing w:line="247" w:lineRule="auto"/>
      </w:pPr>
    </w:p>
    <w:p w14:paraId="3A33BA75">
      <w:pPr>
        <w:spacing w:line="277" w:lineRule="auto"/>
      </w:pPr>
    </w:p>
    <w:p w14:paraId="6D84F83D">
      <w:pPr>
        <w:spacing w:before="100" w:line="228" w:lineRule="auto"/>
        <w:ind w:left="4249"/>
        <w:outlineLvl w:val="0"/>
        <w:rPr>
          <w:rFonts w:hint="eastAsia" w:ascii="黑体" w:hAnsi="黑体" w:eastAsia="黑体" w:cs="黑体"/>
          <w:sz w:val="31"/>
          <w:szCs w:val="31"/>
        </w:rPr>
      </w:pPr>
      <w:bookmarkStart w:id="1" w:name="_bookmark1"/>
      <w:bookmarkEnd w:id="1"/>
      <w:r>
        <w:rPr>
          <w:rFonts w:ascii="黑体" w:hAnsi="黑体" w:eastAsia="黑体" w:cs="黑体"/>
          <w:spacing w:val="7"/>
          <w:sz w:val="31"/>
          <w:szCs w:val="31"/>
        </w:rPr>
        <w:t>前    言</w:t>
      </w:r>
    </w:p>
    <w:p w14:paraId="21341EEB">
      <w:pPr>
        <w:spacing w:line="269" w:lineRule="auto"/>
      </w:pPr>
    </w:p>
    <w:p w14:paraId="6792E06E">
      <w:pPr>
        <w:spacing w:line="269" w:lineRule="auto"/>
      </w:pPr>
    </w:p>
    <w:p w14:paraId="08B8CB9C">
      <w:pPr>
        <w:pStyle w:val="23"/>
        <w:spacing w:line="360" w:lineRule="auto"/>
        <w:ind w:firstLine="420"/>
        <w:rPr>
          <w:rFonts w:hint="eastAsia" w:hAnsi="宋体" w:cs="黑体"/>
          <w:snapToGrid w:val="0"/>
          <w:color w:val="000000"/>
          <w:szCs w:val="21"/>
        </w:rPr>
      </w:pPr>
      <w:r>
        <w:rPr>
          <w:rFonts w:hint="eastAsia" w:hAnsi="宋体" w:cs="黑体"/>
          <w:snapToGrid w:val="0"/>
          <w:color w:val="000000"/>
          <w:szCs w:val="21"/>
        </w:rPr>
        <w:t>本标准由山东省卫生健康委员会归口。</w:t>
      </w:r>
    </w:p>
    <w:p w14:paraId="3467C583">
      <w:pPr>
        <w:pStyle w:val="23"/>
        <w:spacing w:line="360" w:lineRule="auto"/>
        <w:ind w:firstLine="420"/>
        <w:rPr>
          <w:rFonts w:hint="eastAsia" w:hAnsi="宋体" w:cs="黑体"/>
          <w:snapToGrid w:val="0"/>
          <w:color w:val="000000"/>
          <w:szCs w:val="21"/>
        </w:rPr>
      </w:pPr>
      <w:r>
        <w:rPr>
          <w:rFonts w:hint="eastAsia" w:hAnsi="宋体" w:cs="黑体"/>
          <w:snapToGrid w:val="0"/>
          <w:color w:val="000000"/>
          <w:szCs w:val="21"/>
        </w:rPr>
        <w:t>本标准起草单位：</w:t>
      </w:r>
      <w:r>
        <w:t>山东省疾病预防控制中心、山东省药学科学院</w:t>
      </w:r>
      <w:r>
        <w:rPr>
          <w:rFonts w:hint="eastAsia" w:hAnsi="宋体" w:cs="黑体"/>
          <w:snapToGrid w:val="0"/>
          <w:color w:val="000000"/>
          <w:szCs w:val="21"/>
        </w:rPr>
        <w:t>。</w:t>
      </w:r>
    </w:p>
    <w:p w14:paraId="0C110204">
      <w:pPr>
        <w:pStyle w:val="23"/>
        <w:spacing w:line="360" w:lineRule="auto"/>
        <w:ind w:firstLine="420"/>
        <w:rPr>
          <w:rFonts w:hint="eastAsia" w:hAnsi="宋体" w:cs="黑体"/>
          <w:snapToGrid w:val="0"/>
          <w:color w:val="000000"/>
          <w:szCs w:val="21"/>
        </w:rPr>
      </w:pPr>
      <w:r>
        <w:rPr>
          <w:rFonts w:hint="eastAsia" w:hAnsi="宋体" w:cs="黑体"/>
          <w:snapToGrid w:val="0"/>
          <w:color w:val="000000"/>
          <w:szCs w:val="21"/>
        </w:rPr>
        <w:t>本标准主要起草人：</w:t>
      </w:r>
      <w:bookmarkStart w:id="2" w:name="OLE_LINK2"/>
      <w:r>
        <w:rPr>
          <w:rFonts w:hint="eastAsia" w:hAnsi="宋体" w:cs="黑体"/>
          <w:snapToGrid w:val="0"/>
          <w:color w:val="000000"/>
          <w:szCs w:val="21"/>
        </w:rPr>
        <w:t>王克波、</w:t>
      </w:r>
      <w:r>
        <w:rPr>
          <w:rFonts w:hAnsi="宋体" w:cs="黑体"/>
          <w:snapToGrid w:val="0"/>
          <w:color w:val="000000"/>
          <w:szCs w:val="21"/>
        </w:rPr>
        <w:t>张岱州、刘飞、陈勉</w:t>
      </w:r>
      <w:r>
        <w:rPr>
          <w:rFonts w:hint="eastAsia" w:hAnsi="宋体" w:cs="黑体"/>
          <w:snapToGrid w:val="0"/>
          <w:color w:val="000000"/>
          <w:szCs w:val="21"/>
        </w:rPr>
        <w:t>、庞名芮、</w:t>
      </w:r>
      <w:r>
        <w:rPr>
          <w:rFonts w:hAnsi="宋体" w:cs="黑体"/>
          <w:snapToGrid w:val="0"/>
          <w:color w:val="000000"/>
          <w:szCs w:val="21"/>
        </w:rPr>
        <w:t>汤漩、</w:t>
      </w:r>
      <w:r>
        <w:rPr>
          <w:rFonts w:hint="eastAsia" w:hAnsi="宋体" w:cs="黑体"/>
          <w:snapToGrid w:val="0"/>
          <w:color w:val="000000"/>
          <w:szCs w:val="21"/>
          <w:lang w:val="en-US" w:eastAsia="zh-CN"/>
        </w:rPr>
        <w:t>程东、</w:t>
      </w:r>
      <w:r>
        <w:rPr>
          <w:rFonts w:hint="eastAsia" w:hAnsi="宋体" w:cs="黑体"/>
          <w:snapToGrid w:val="0"/>
          <w:color w:val="000000"/>
          <w:szCs w:val="21"/>
        </w:rPr>
        <w:t>梁争艳、周晗、</w:t>
      </w:r>
      <w:r>
        <w:rPr>
          <w:rFonts w:hAnsi="宋体" w:cs="黑体"/>
          <w:snapToGrid w:val="0"/>
          <w:color w:val="000000"/>
          <w:szCs w:val="21"/>
        </w:rPr>
        <w:t>张金华、牛林林、尉茜</w:t>
      </w:r>
      <w:r>
        <w:rPr>
          <w:rFonts w:hint="eastAsia" w:hAnsi="宋体" w:cs="黑体"/>
          <w:snapToGrid w:val="0"/>
          <w:color w:val="000000"/>
          <w:szCs w:val="21"/>
        </w:rPr>
        <w:t>、</w:t>
      </w:r>
      <w:r>
        <w:rPr>
          <w:rFonts w:hAnsi="宋体" w:cs="黑体"/>
          <w:snapToGrid w:val="0"/>
          <w:color w:val="000000"/>
          <w:szCs w:val="21"/>
        </w:rPr>
        <w:t>陆世海</w:t>
      </w:r>
      <w:r>
        <w:rPr>
          <w:rFonts w:hint="eastAsia" w:hAnsi="宋体" w:cs="黑体"/>
          <w:snapToGrid w:val="0"/>
          <w:color w:val="000000"/>
          <w:szCs w:val="21"/>
        </w:rPr>
        <w:t>、</w:t>
      </w:r>
      <w:r>
        <w:rPr>
          <w:rFonts w:hAnsi="宋体" w:cs="黑体"/>
          <w:snapToGrid w:val="0"/>
          <w:color w:val="000000"/>
          <w:szCs w:val="21"/>
        </w:rPr>
        <w:t>张大虎</w:t>
      </w:r>
      <w:r>
        <w:rPr>
          <w:rFonts w:hint="eastAsia" w:hAnsi="宋体" w:cs="黑体"/>
          <w:snapToGrid w:val="0"/>
          <w:color w:val="000000"/>
          <w:szCs w:val="21"/>
        </w:rPr>
        <w:t>、</w:t>
      </w:r>
      <w:r>
        <w:rPr>
          <w:rFonts w:hAnsi="宋体" w:cs="黑体"/>
          <w:snapToGrid w:val="0"/>
          <w:color w:val="000000"/>
          <w:szCs w:val="21"/>
        </w:rPr>
        <w:t>袁宗涛</w:t>
      </w:r>
      <w:r>
        <w:rPr>
          <w:rFonts w:hint="eastAsia" w:hAnsi="宋体" w:cs="黑体"/>
          <w:snapToGrid w:val="0"/>
          <w:color w:val="000000"/>
          <w:szCs w:val="21"/>
        </w:rPr>
        <w:t>。</w:t>
      </w:r>
      <w:bookmarkEnd w:id="2"/>
    </w:p>
    <w:p w14:paraId="03871B9D">
      <w:pPr>
        <w:spacing w:before="67" w:line="227" w:lineRule="auto"/>
        <w:ind w:left="420"/>
        <w:rPr>
          <w:rFonts w:hint="eastAsia" w:ascii="宋体" w:hAnsi="宋体" w:eastAsia="宋体" w:cs="宋体"/>
          <w:sz w:val="20"/>
          <w:szCs w:val="20"/>
        </w:rPr>
      </w:pPr>
    </w:p>
    <w:p w14:paraId="713B0670">
      <w:pPr>
        <w:sectPr>
          <w:headerReference r:id="rId9" w:type="default"/>
          <w:footerReference r:id="rId10" w:type="default"/>
          <w:pgSz w:w="11906" w:h="16839"/>
          <w:pgMar w:top="1406" w:right="1133" w:bottom="1311" w:left="1427" w:header="0" w:footer="1134" w:gutter="0"/>
          <w:cols w:space="720" w:num="1"/>
        </w:sectPr>
      </w:pPr>
    </w:p>
    <w:p w14:paraId="0072DD91">
      <w:pPr>
        <w:spacing w:line="247" w:lineRule="auto"/>
      </w:pPr>
    </w:p>
    <w:p w14:paraId="51AAC649">
      <w:pPr>
        <w:spacing w:line="248" w:lineRule="auto"/>
      </w:pPr>
    </w:p>
    <w:p w14:paraId="1F85CAB8">
      <w:pPr>
        <w:spacing w:line="254" w:lineRule="auto"/>
      </w:pPr>
    </w:p>
    <w:p w14:paraId="6ABEBEDF">
      <w:pPr>
        <w:spacing w:line="254" w:lineRule="auto"/>
      </w:pPr>
    </w:p>
    <w:p w14:paraId="32AD5C89">
      <w:pPr>
        <w:spacing w:before="101" w:line="227" w:lineRule="auto"/>
        <w:jc w:val="center"/>
        <w:rPr>
          <w:rFonts w:hint="eastAsia" w:ascii="黑体" w:hAnsi="黑体" w:eastAsia="黑体" w:cs="黑体"/>
          <w:spacing w:val="15"/>
          <w:sz w:val="31"/>
          <w:szCs w:val="31"/>
        </w:rPr>
      </w:pPr>
      <w:r>
        <w:rPr>
          <w:rFonts w:hint="eastAsia" w:ascii="黑体" w:hAnsi="黑体" w:eastAsia="黑体" w:cs="黑体"/>
          <w:spacing w:val="15"/>
          <w:sz w:val="31"/>
          <w:szCs w:val="31"/>
        </w:rPr>
        <w:t>食品安全地方标准</w:t>
      </w:r>
    </w:p>
    <w:p w14:paraId="3FC3C059">
      <w:pPr>
        <w:spacing w:line="320" w:lineRule="auto"/>
        <w:jc w:val="center"/>
      </w:pPr>
      <w:r>
        <w:rPr>
          <w:rFonts w:hint="eastAsia" w:ascii="黑体" w:hAnsi="黑体" w:eastAsia="黑体" w:cs="黑体"/>
          <w:spacing w:val="15"/>
          <w:sz w:val="31"/>
          <w:szCs w:val="31"/>
        </w:rPr>
        <w:t>罗汉参</w:t>
      </w:r>
    </w:p>
    <w:p w14:paraId="53B6E23C">
      <w:pPr>
        <w:spacing w:line="320" w:lineRule="auto"/>
      </w:pPr>
    </w:p>
    <w:p w14:paraId="2A11F1B6">
      <w:pPr>
        <w:spacing w:before="65" w:line="231" w:lineRule="auto"/>
        <w:ind w:left="16"/>
        <w:outlineLvl w:val="0"/>
        <w:rPr>
          <w:rFonts w:hint="eastAsia" w:ascii="黑体" w:hAnsi="黑体" w:eastAsia="黑体" w:cs="黑体"/>
          <w:sz w:val="20"/>
          <w:szCs w:val="20"/>
        </w:rPr>
      </w:pPr>
      <w:bookmarkStart w:id="3" w:name="_bookmark2"/>
      <w:bookmarkEnd w:id="3"/>
      <w:r>
        <w:rPr>
          <w:rFonts w:ascii="黑体" w:hAnsi="黑体" w:eastAsia="黑体" w:cs="黑体"/>
          <w:spacing w:val="4"/>
          <w:sz w:val="20"/>
          <w:szCs w:val="20"/>
        </w:rPr>
        <w:t>1</w:t>
      </w:r>
      <w:r>
        <w:rPr>
          <w:rFonts w:ascii="黑体" w:hAnsi="黑体" w:eastAsia="黑体" w:cs="黑体"/>
          <w:spacing w:val="3"/>
          <w:sz w:val="20"/>
          <w:szCs w:val="20"/>
        </w:rPr>
        <w:t xml:space="preserve"> </w:t>
      </w:r>
      <w:r>
        <w:rPr>
          <w:rFonts w:ascii="黑体" w:hAnsi="黑体" w:eastAsia="黑体" w:cs="黑体"/>
          <w:spacing w:val="2"/>
          <w:sz w:val="20"/>
          <w:szCs w:val="20"/>
        </w:rPr>
        <w:t xml:space="preserve"> 范围</w:t>
      </w:r>
    </w:p>
    <w:p w14:paraId="0D72ABC3">
      <w:pPr>
        <w:pStyle w:val="6"/>
        <w:shd w:val="clear" w:color="auto" w:fill="FFFFFF"/>
        <w:spacing w:before="0" w:beforeAutospacing="0" w:after="0" w:afterAutospacing="0" w:line="360" w:lineRule="auto"/>
        <w:ind w:firstLine="360"/>
        <w:jc w:val="both"/>
        <w:rPr>
          <w:rFonts w:eastAsiaTheme="minorEastAsia"/>
          <w:sz w:val="21"/>
        </w:rPr>
      </w:pPr>
      <w:r>
        <w:rPr>
          <w:rFonts w:hint="eastAsia" w:ascii="宋体" w:hAnsi="宋体" w:eastAsia="宋体" w:cs="宋体"/>
          <w:sz w:val="21"/>
        </w:rPr>
        <w:t>本标准规定了罗汉参的术语和定义、技术要求和和食用方法。</w:t>
      </w:r>
      <w:r>
        <w:rPr>
          <w:rFonts w:hint="eastAsia"/>
          <w:sz w:val="21"/>
        </w:rPr>
        <w:t xml:space="preserve"> </w:t>
      </w:r>
    </w:p>
    <w:p w14:paraId="033406C0">
      <w:pPr>
        <w:pStyle w:val="6"/>
        <w:shd w:val="clear" w:color="auto" w:fill="FFFFFF"/>
        <w:spacing w:before="0" w:beforeAutospacing="0" w:after="105" w:afterAutospacing="0" w:line="315" w:lineRule="atLeast"/>
        <w:ind w:firstLine="436" w:firstLineChars="200"/>
        <w:jc w:val="both"/>
        <w:rPr>
          <w:rFonts w:hint="eastAsia" w:ascii="宋体" w:hAnsi="宋体" w:eastAsia="宋体" w:cs="宋体"/>
          <w:spacing w:val="9"/>
          <w:sz w:val="20"/>
          <w:szCs w:val="20"/>
        </w:rPr>
      </w:pPr>
      <w:r>
        <w:rPr>
          <w:rFonts w:hint="eastAsia" w:ascii="宋体" w:hAnsi="宋体" w:eastAsia="宋体" w:cs="宋体"/>
          <w:spacing w:val="9"/>
          <w:sz w:val="20"/>
          <w:szCs w:val="20"/>
        </w:rPr>
        <w:t>本标准适用于</w:t>
      </w:r>
      <w:r>
        <w:rPr>
          <w:rFonts w:ascii="宋体" w:hAnsi="宋体" w:eastAsia="宋体" w:cs="宋体"/>
          <w:spacing w:val="9"/>
          <w:sz w:val="20"/>
          <w:szCs w:val="20"/>
        </w:rPr>
        <w:t>山东省内人工种植</w:t>
      </w:r>
      <w:r>
        <w:rPr>
          <w:rFonts w:hint="eastAsia" w:ascii="宋体" w:hAnsi="宋体" w:eastAsia="宋体" w:cs="宋体"/>
          <w:spacing w:val="9"/>
          <w:sz w:val="20"/>
          <w:szCs w:val="20"/>
        </w:rPr>
        <w:t>且用作食品原料的</w:t>
      </w:r>
      <w:r>
        <w:rPr>
          <w:rFonts w:ascii="宋体" w:hAnsi="宋体" w:eastAsia="宋体" w:cs="宋体"/>
          <w:spacing w:val="9"/>
          <w:sz w:val="20"/>
          <w:szCs w:val="20"/>
        </w:rPr>
        <w:t>罗汉参</w:t>
      </w:r>
      <w:r>
        <w:rPr>
          <w:rFonts w:hint="eastAsia" w:ascii="宋体" w:hAnsi="宋体" w:eastAsia="宋体" w:cs="宋体"/>
          <w:spacing w:val="9"/>
          <w:sz w:val="20"/>
          <w:szCs w:val="20"/>
        </w:rPr>
        <w:t>干制品。</w:t>
      </w:r>
    </w:p>
    <w:p w14:paraId="7DF39BFC">
      <w:pPr>
        <w:spacing w:before="65" w:line="360" w:lineRule="auto"/>
        <w:outlineLvl w:val="0"/>
        <w:rPr>
          <w:rFonts w:hint="eastAsia" w:ascii="黑体" w:hAnsi="黑体" w:eastAsia="黑体"/>
        </w:rPr>
      </w:pPr>
      <w:r>
        <w:rPr>
          <w:rFonts w:hint="eastAsia" w:ascii="黑体" w:hAnsi="黑体" w:eastAsia="黑体"/>
        </w:rPr>
        <w:t xml:space="preserve">2  规范性引用文件 </w:t>
      </w:r>
    </w:p>
    <w:p w14:paraId="05B40126">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 xml:space="preserve">下列文件中的内容通过文中的规范性引用而构成本文件必不可少的条款。其中，注日期的引用文件， 仅该日期对应的版本适用于本文件；不注日期的引用文件，其最新版本（包括所有的修改单）适用于本文件。 </w:t>
      </w:r>
    </w:p>
    <w:p w14:paraId="659CB6E4">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2762     食品安全国家标准 食品中污染物限量</w:t>
      </w:r>
    </w:p>
    <w:p w14:paraId="4821297C">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2763     食品安全国家标准 食品中农药最大残留限量</w:t>
      </w:r>
    </w:p>
    <w:p w14:paraId="3B416006">
      <w:pPr>
        <w:spacing w:before="65" w:line="360" w:lineRule="auto"/>
        <w:ind w:firstLine="400" w:firstLineChars="200"/>
        <w:outlineLvl w:val="0"/>
        <w:rPr>
          <w:rFonts w:hint="eastAsia" w:ascii="宋体" w:hAnsi="宋体" w:eastAsia="宋体" w:cs="宋体"/>
          <w:sz w:val="20"/>
          <w:szCs w:val="20"/>
        </w:rPr>
      </w:pPr>
      <w:bookmarkStart w:id="4" w:name="OLE_LINK1"/>
      <w:r>
        <w:rPr>
          <w:rFonts w:hint="eastAsia" w:ascii="宋体" w:hAnsi="宋体" w:eastAsia="宋体" w:cs="宋体"/>
          <w:sz w:val="20"/>
          <w:szCs w:val="20"/>
        </w:rPr>
        <w:t>GB 5009.3</w:t>
      </w:r>
      <w:bookmarkEnd w:id="4"/>
      <w:r>
        <w:rPr>
          <w:rFonts w:hint="eastAsia" w:ascii="宋体" w:hAnsi="宋体" w:eastAsia="宋体" w:cs="宋体"/>
          <w:sz w:val="20"/>
          <w:szCs w:val="20"/>
        </w:rPr>
        <w:t xml:space="preserve">   食品安全国家标准 食品中水分的测定</w:t>
      </w:r>
    </w:p>
    <w:p w14:paraId="560DA82F">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5009.4   食品安全国家标准 食品中灰分的测定</w:t>
      </w:r>
    </w:p>
    <w:p w14:paraId="64FA0364">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5009.12  食品安全国家标准 食品中铅的测定</w:t>
      </w:r>
    </w:p>
    <w:p w14:paraId="6660F7E1">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5009.15  食品安全国家标准 食品中镉的测定</w:t>
      </w:r>
    </w:p>
    <w:p w14:paraId="311269CD">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5749     生活饮用水卫生标准</w:t>
      </w:r>
    </w:p>
    <w:p w14:paraId="2A71A901">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7718     食品安全国家标准 预包装食品标签通则</w:t>
      </w:r>
    </w:p>
    <w:p w14:paraId="656D426F">
      <w:pPr>
        <w:spacing w:before="65" w:line="360" w:lineRule="auto"/>
        <w:ind w:firstLine="400" w:firstLineChars="200"/>
        <w:outlineLvl w:val="0"/>
        <w:rPr>
          <w:rFonts w:hint="eastAsia" w:ascii="宋体" w:hAnsi="宋体" w:eastAsia="宋体" w:cs="宋体"/>
          <w:sz w:val="20"/>
          <w:szCs w:val="20"/>
        </w:rPr>
      </w:pPr>
      <w:r>
        <w:rPr>
          <w:rFonts w:hint="eastAsia" w:ascii="宋体" w:hAnsi="宋体" w:eastAsia="宋体" w:cs="宋体"/>
          <w:sz w:val="20"/>
          <w:szCs w:val="20"/>
        </w:rPr>
        <w:t>GB 28050    食品安全国家标准 预包装食品营养标签通则</w:t>
      </w:r>
    </w:p>
    <w:p w14:paraId="2B9A8992">
      <w:pPr>
        <w:kinsoku/>
        <w:autoSpaceDE/>
        <w:autoSpaceDN/>
        <w:adjustRightInd/>
        <w:snapToGrid/>
        <w:ind w:firstLine="400" w:firstLineChars="200"/>
        <w:textAlignment w:val="auto"/>
        <w:rPr>
          <w:rFonts w:hint="eastAsia" w:ascii="宋体" w:hAnsi="宋体" w:eastAsia="宋体" w:cs="宋体"/>
          <w:sz w:val="20"/>
          <w:szCs w:val="20"/>
        </w:rPr>
      </w:pPr>
      <w:r>
        <w:rPr>
          <w:rFonts w:ascii="宋体" w:hAnsi="宋体" w:eastAsia="宋体" w:cs="宋体"/>
          <w:sz w:val="20"/>
          <w:szCs w:val="20"/>
        </w:rPr>
        <w:t>保健食品理化及卫生指标检验与评价技术指导原则（2020年版）</w:t>
      </w:r>
    </w:p>
    <w:p w14:paraId="629C796F">
      <w:pPr>
        <w:spacing w:before="65" w:line="360" w:lineRule="auto"/>
        <w:outlineLvl w:val="0"/>
        <w:rPr>
          <w:rFonts w:hint="eastAsia" w:ascii="黑体" w:hAnsi="黑体" w:eastAsia="黑体" w:cs="黑体"/>
          <w:sz w:val="20"/>
          <w:szCs w:val="20"/>
        </w:rPr>
      </w:pPr>
      <w:r>
        <w:rPr>
          <w:rFonts w:hint="eastAsia" w:ascii="黑体" w:hAnsi="黑体" w:eastAsia="黑体" w:cs="黑体"/>
          <w:spacing w:val="2"/>
          <w:sz w:val="20"/>
          <w:szCs w:val="20"/>
        </w:rPr>
        <w:t>3</w:t>
      </w:r>
      <w:r>
        <w:rPr>
          <w:rFonts w:ascii="黑体" w:hAnsi="黑体" w:eastAsia="黑体" w:cs="黑体"/>
          <w:spacing w:val="2"/>
          <w:sz w:val="20"/>
          <w:szCs w:val="20"/>
        </w:rPr>
        <w:t xml:space="preserve">  </w:t>
      </w:r>
      <w:r>
        <w:rPr>
          <w:rFonts w:hint="eastAsia" w:ascii="黑体" w:hAnsi="黑体" w:eastAsia="黑体" w:cs="黑体"/>
          <w:spacing w:val="2"/>
          <w:sz w:val="20"/>
          <w:szCs w:val="20"/>
        </w:rPr>
        <w:t>术语和定义</w:t>
      </w:r>
    </w:p>
    <w:p w14:paraId="27EB7789">
      <w:pPr>
        <w:spacing w:before="65" w:line="231" w:lineRule="auto"/>
        <w:ind w:left="16" w:firstLine="400" w:firstLineChars="200"/>
        <w:outlineLvl w:val="0"/>
        <w:rPr>
          <w:rFonts w:hint="eastAsia" w:ascii="宋体" w:hAnsi="宋体" w:eastAsia="宋体" w:cs="宋体"/>
          <w:sz w:val="20"/>
          <w:szCs w:val="20"/>
        </w:rPr>
      </w:pPr>
      <w:r>
        <w:rPr>
          <w:rFonts w:hint="eastAsia" w:ascii="宋体" w:hAnsi="宋体" w:eastAsia="宋体" w:cs="宋体"/>
          <w:sz w:val="20"/>
          <w:szCs w:val="20"/>
        </w:rPr>
        <w:t>下列术语定义适用于本标准。</w:t>
      </w:r>
    </w:p>
    <w:p w14:paraId="0F557EF1">
      <w:pPr>
        <w:keepNext w:val="0"/>
        <w:keepLines w:val="0"/>
        <w:pageBreakBefore w:val="0"/>
        <w:widowControl/>
        <w:kinsoku w:val="0"/>
        <w:wordWrap/>
        <w:overflowPunct/>
        <w:topLinePunct w:val="0"/>
        <w:autoSpaceDE w:val="0"/>
        <w:autoSpaceDN w:val="0"/>
        <w:bidi w:val="0"/>
        <w:adjustRightInd w:val="0"/>
        <w:snapToGrid w:val="0"/>
        <w:spacing w:before="65" w:after="0" w:afterLines="50" w:line="231" w:lineRule="auto"/>
        <w:ind w:left="17" w:firstLine="408" w:firstLineChars="200"/>
        <w:textAlignment w:val="baseline"/>
        <w:outlineLvl w:val="0"/>
        <w:rPr>
          <w:rFonts w:hint="eastAsia" w:ascii="黑体" w:hAnsi="黑体" w:eastAsia="黑体" w:cs="黑体"/>
          <w:spacing w:val="2"/>
          <w:sz w:val="20"/>
          <w:szCs w:val="20"/>
        </w:rPr>
      </w:pPr>
      <w:r>
        <w:rPr>
          <w:rFonts w:hint="eastAsia" w:ascii="黑体" w:hAnsi="黑体" w:eastAsia="黑体" w:cs="黑体"/>
          <w:spacing w:val="2"/>
          <w:sz w:val="20"/>
          <w:szCs w:val="20"/>
        </w:rPr>
        <w:t>3.1罗汉参</w:t>
      </w:r>
    </w:p>
    <w:p w14:paraId="5DF3918E">
      <w:pPr>
        <w:spacing w:line="360" w:lineRule="auto"/>
        <w:ind w:right="413" w:firstLine="436" w:firstLineChars="200"/>
        <w:jc w:val="both"/>
        <w:rPr>
          <w:rFonts w:hint="eastAsia" w:ascii="宋体" w:hAnsi="宋体" w:eastAsia="宋体" w:cs="宋体"/>
          <w:spacing w:val="9"/>
          <w:sz w:val="20"/>
          <w:szCs w:val="20"/>
        </w:rPr>
      </w:pPr>
      <w:r>
        <w:rPr>
          <w:rFonts w:hint="eastAsia" w:ascii="宋体" w:hAnsi="宋体" w:eastAsia="宋体" w:cs="宋体"/>
          <w:spacing w:val="9"/>
          <w:sz w:val="20"/>
          <w:szCs w:val="20"/>
        </w:rPr>
        <w:t>又称土圞儿、土芋、地栗子、土子、土蛋、野凉薯、九连珠、土凉薯、黄皮狗圞、九牛子等，</w:t>
      </w:r>
      <w:bookmarkStart w:id="5" w:name="OLE_LINK5"/>
      <w:r>
        <w:rPr>
          <w:rFonts w:hint="eastAsia" w:ascii="宋体" w:hAnsi="宋体" w:eastAsia="宋体" w:cs="宋体"/>
          <w:spacing w:val="9"/>
          <w:sz w:val="20"/>
          <w:szCs w:val="20"/>
        </w:rPr>
        <w:t>为豆科（Leguminosae）、土圞属 (Apios)、土圞儿（</w:t>
      </w:r>
      <w:r>
        <w:rPr>
          <w:rFonts w:hint="eastAsia" w:ascii="宋体" w:hAnsi="宋体" w:eastAsia="宋体" w:cs="宋体"/>
          <w:i/>
          <w:iCs/>
          <w:spacing w:val="9"/>
          <w:sz w:val="20"/>
          <w:szCs w:val="20"/>
        </w:rPr>
        <w:t>Apios fortunei Maxim</w:t>
      </w:r>
      <w:r>
        <w:rPr>
          <w:rFonts w:hint="eastAsia" w:ascii="宋体" w:hAnsi="宋体" w:eastAsia="宋体" w:cs="宋体"/>
          <w:spacing w:val="9"/>
          <w:sz w:val="20"/>
          <w:szCs w:val="20"/>
        </w:rPr>
        <w:t>）的块根。</w:t>
      </w:r>
    </w:p>
    <w:p w14:paraId="6423E2A7">
      <w:pPr>
        <w:spacing w:line="360" w:lineRule="auto"/>
        <w:ind w:right="413" w:firstLine="408" w:firstLineChars="200"/>
        <w:jc w:val="both"/>
        <w:rPr>
          <w:rFonts w:hint="eastAsia" w:ascii="宋体" w:hAnsi="宋体" w:eastAsia="宋体" w:cs="宋体"/>
          <w:spacing w:val="9"/>
          <w:sz w:val="20"/>
          <w:szCs w:val="20"/>
        </w:rPr>
      </w:pPr>
      <w:r>
        <w:rPr>
          <w:rFonts w:hint="eastAsia" w:ascii="黑体" w:hAnsi="黑体" w:eastAsia="黑体" w:cs="黑体"/>
          <w:spacing w:val="2"/>
          <w:sz w:val="20"/>
          <w:szCs w:val="20"/>
        </w:rPr>
        <w:t>3.2罗汉参干制品</w:t>
      </w:r>
    </w:p>
    <w:p w14:paraId="4FBB1A5A">
      <w:pPr>
        <w:spacing w:line="360" w:lineRule="auto"/>
        <w:ind w:right="413" w:firstLine="436" w:firstLineChars="200"/>
        <w:jc w:val="both"/>
        <w:rPr>
          <w:rFonts w:hint="eastAsia" w:ascii="宋体" w:hAnsi="宋体" w:eastAsia="宋体" w:cs="宋体"/>
          <w:spacing w:val="9"/>
          <w:sz w:val="20"/>
          <w:szCs w:val="20"/>
        </w:rPr>
      </w:pPr>
      <w:r>
        <w:rPr>
          <w:rFonts w:hint="eastAsia" w:ascii="宋体" w:hAnsi="宋体" w:eastAsia="宋体" w:cs="宋体"/>
          <w:spacing w:val="9"/>
          <w:sz w:val="20"/>
          <w:szCs w:val="20"/>
          <w:lang w:val="en-US" w:eastAsia="zh-CN"/>
        </w:rPr>
        <w:t>由</w:t>
      </w:r>
      <w:r>
        <w:rPr>
          <w:rFonts w:hint="eastAsia" w:ascii="宋体" w:hAnsi="宋体" w:eastAsia="宋体" w:cs="宋体"/>
          <w:spacing w:val="9"/>
          <w:sz w:val="20"/>
          <w:szCs w:val="20"/>
        </w:rPr>
        <w:t>土圞儿（</w:t>
      </w:r>
      <w:r>
        <w:rPr>
          <w:rFonts w:hint="eastAsia" w:ascii="宋体" w:hAnsi="宋体" w:eastAsia="宋体" w:cs="宋体"/>
          <w:i/>
          <w:iCs/>
          <w:spacing w:val="9"/>
          <w:sz w:val="20"/>
          <w:szCs w:val="20"/>
        </w:rPr>
        <w:t>Apios fortunei Maxim</w:t>
      </w:r>
      <w:r>
        <w:rPr>
          <w:rFonts w:hint="eastAsia" w:ascii="宋体" w:hAnsi="宋体" w:eastAsia="宋体" w:cs="宋体"/>
          <w:spacing w:val="9"/>
          <w:sz w:val="20"/>
          <w:szCs w:val="20"/>
        </w:rPr>
        <w:t>）的块根</w:t>
      </w:r>
      <w:r>
        <w:rPr>
          <w:rFonts w:hint="eastAsia" w:ascii="宋体" w:hAnsi="宋体" w:eastAsia="宋体" w:cs="宋体"/>
        </w:rPr>
        <w:t>经采挖、洗净、分切（或不分切）、蒸制（或不蒸制）、晒干或低温干燥、</w:t>
      </w:r>
      <w:r>
        <w:rPr>
          <w:rFonts w:hint="eastAsia" w:cs="宋体" w:asciiTheme="minorEastAsia" w:hAnsiTheme="minorEastAsia" w:eastAsiaTheme="minorEastAsia"/>
          <w:lang w:bidi="ar"/>
        </w:rPr>
        <w:t>粉碎（或不粉碎）</w:t>
      </w:r>
      <w:r>
        <w:rPr>
          <w:rFonts w:hint="eastAsia" w:ascii="宋体" w:hAnsi="宋体" w:eastAsia="宋体" w:cs="宋体"/>
        </w:rPr>
        <w:t>等加工方式制成的干制品。</w:t>
      </w:r>
      <w:bookmarkEnd w:id="5"/>
    </w:p>
    <w:p w14:paraId="57EEC7EF">
      <w:pPr>
        <w:spacing w:line="360" w:lineRule="auto"/>
        <w:ind w:left="3"/>
        <w:outlineLvl w:val="0"/>
      </w:pPr>
      <w:bookmarkStart w:id="6" w:name="_bookmark3"/>
      <w:bookmarkEnd w:id="6"/>
      <w:r>
        <w:rPr>
          <w:rFonts w:hint="eastAsia" w:ascii="黑体" w:hAnsi="黑体" w:eastAsia="黑体" w:cs="黑体"/>
          <w:spacing w:val="13"/>
          <w:sz w:val="20"/>
          <w:szCs w:val="20"/>
        </w:rPr>
        <w:t>4</w:t>
      </w:r>
      <w:r>
        <w:rPr>
          <w:rFonts w:ascii="黑体" w:hAnsi="黑体" w:eastAsia="黑体" w:cs="黑体"/>
          <w:spacing w:val="7"/>
          <w:sz w:val="20"/>
          <w:szCs w:val="20"/>
        </w:rPr>
        <w:t xml:space="preserve">  </w:t>
      </w:r>
      <w:r>
        <w:rPr>
          <w:rFonts w:hint="eastAsia" w:ascii="黑体" w:hAnsi="黑体" w:eastAsia="黑体" w:cs="黑体"/>
          <w:spacing w:val="7"/>
          <w:sz w:val="20"/>
          <w:szCs w:val="20"/>
        </w:rPr>
        <w:t>技术要求</w:t>
      </w:r>
    </w:p>
    <w:p w14:paraId="7E790279">
      <w:pPr>
        <w:spacing w:before="65" w:line="231" w:lineRule="auto"/>
        <w:ind w:left="16" w:firstLine="408" w:firstLineChars="200"/>
        <w:outlineLvl w:val="0"/>
        <w:rPr>
          <w:rFonts w:hint="eastAsia" w:ascii="黑体" w:hAnsi="黑体" w:eastAsia="黑体" w:cs="黑体"/>
          <w:spacing w:val="2"/>
          <w:sz w:val="20"/>
          <w:szCs w:val="20"/>
        </w:rPr>
      </w:pPr>
      <w:r>
        <w:rPr>
          <w:rFonts w:hint="eastAsia" w:ascii="黑体" w:hAnsi="黑体" w:eastAsia="黑体" w:cs="黑体"/>
          <w:spacing w:val="2"/>
          <w:sz w:val="20"/>
          <w:szCs w:val="20"/>
        </w:rPr>
        <w:t>4.1 原料要求</w:t>
      </w:r>
    </w:p>
    <w:p w14:paraId="0360D652">
      <w:pPr>
        <w:spacing w:before="66" w:line="226"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4.1.1 </w:t>
      </w:r>
      <w:r>
        <w:rPr>
          <w:rFonts w:hint="eastAsia" w:ascii="宋体" w:hAnsi="宋体" w:eastAsia="宋体" w:cs="宋体"/>
        </w:rPr>
        <w:t>罗汉参鲜品应新鲜，无腐烂，无霉变和病虫害</w:t>
      </w:r>
      <w:r>
        <w:rPr>
          <w:rFonts w:hint="eastAsia" w:ascii="宋体" w:hAnsi="宋体" w:eastAsia="宋体" w:cs="宋体"/>
          <w:sz w:val="20"/>
          <w:szCs w:val="20"/>
        </w:rPr>
        <w:t>；种植过程符合国家相关标准规定。</w:t>
      </w:r>
    </w:p>
    <w:p w14:paraId="350AACBB">
      <w:pPr>
        <w:pStyle w:val="24"/>
        <w:numPr>
          <w:ilvl w:val="2"/>
          <w:numId w:val="0"/>
        </w:numPr>
        <w:ind w:firstLine="400" w:firstLineChars="200"/>
        <w:rPr>
          <w:rFonts w:hint="eastAsia" w:hAnsi="宋体" w:cs="宋体"/>
          <w:snapToGrid w:val="0"/>
          <w:color w:val="000000"/>
          <w:sz w:val="20"/>
          <w:szCs w:val="20"/>
        </w:rPr>
      </w:pPr>
      <w:r>
        <w:rPr>
          <w:rFonts w:hint="eastAsia" w:hAnsi="宋体" w:cs="宋体"/>
          <w:snapToGrid w:val="0"/>
          <w:color w:val="000000"/>
          <w:sz w:val="20"/>
          <w:szCs w:val="20"/>
        </w:rPr>
        <w:t>4.1.2 生产加工用水应符合GB 5749的规定。</w:t>
      </w:r>
    </w:p>
    <w:p w14:paraId="75914A76">
      <w:pPr>
        <w:spacing w:before="65" w:line="231" w:lineRule="auto"/>
        <w:ind w:left="16" w:firstLine="408" w:firstLineChars="200"/>
        <w:outlineLvl w:val="0"/>
        <w:rPr>
          <w:rFonts w:hint="eastAsia" w:ascii="黑体" w:hAnsi="黑体" w:eastAsia="黑体" w:cs="黑体"/>
          <w:spacing w:val="2"/>
          <w:sz w:val="20"/>
          <w:szCs w:val="20"/>
        </w:rPr>
      </w:pPr>
      <w:r>
        <w:rPr>
          <w:rFonts w:hint="eastAsia" w:ascii="黑体" w:hAnsi="黑体" w:eastAsia="黑体" w:cs="黑体"/>
          <w:spacing w:val="2"/>
          <w:sz w:val="20"/>
          <w:szCs w:val="20"/>
        </w:rPr>
        <w:t>4.2 感官要求</w:t>
      </w:r>
    </w:p>
    <w:p w14:paraId="61E28A79">
      <w:pPr>
        <w:spacing w:before="66" w:line="226" w:lineRule="auto"/>
        <w:ind w:left="423"/>
        <w:rPr>
          <w:rFonts w:hint="eastAsia" w:ascii="宋体" w:hAnsi="宋体" w:eastAsia="宋体" w:cs="宋体"/>
          <w:sz w:val="20"/>
          <w:szCs w:val="20"/>
        </w:rPr>
      </w:pPr>
      <w:r>
        <w:rPr>
          <w:rFonts w:hint="eastAsia" w:ascii="宋体" w:hAnsi="宋体" w:eastAsia="宋体" w:cs="宋体"/>
          <w:sz w:val="20"/>
          <w:szCs w:val="20"/>
        </w:rPr>
        <w:t>感官要求应符合表1的规定。</w:t>
      </w:r>
    </w:p>
    <w:p w14:paraId="4AE73CAB">
      <w:pPr>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表1 感官要求</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1"/>
        <w:gridCol w:w="3633"/>
        <w:gridCol w:w="3050"/>
      </w:tblGrid>
      <w:tr w14:paraId="2E5B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tcPr>
          <w:p w14:paraId="240F3780">
            <w:pPr>
              <w:widowControl w:val="0"/>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项目</w:t>
            </w:r>
          </w:p>
        </w:tc>
        <w:tc>
          <w:tcPr>
            <w:tcW w:w="3633" w:type="dxa"/>
          </w:tcPr>
          <w:p w14:paraId="76D0F8FF">
            <w:pPr>
              <w:widowControl w:val="0"/>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要求</w:t>
            </w:r>
          </w:p>
        </w:tc>
        <w:tc>
          <w:tcPr>
            <w:tcW w:w="3050" w:type="dxa"/>
          </w:tcPr>
          <w:p w14:paraId="49ED4420">
            <w:pPr>
              <w:widowControl w:val="0"/>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4FF68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vAlign w:val="center"/>
          </w:tcPr>
          <w:p w14:paraId="00700852">
            <w:pPr>
              <w:widowControl w:val="0"/>
              <w:jc w:val="center"/>
              <w:rPr>
                <w:rFonts w:hint="eastAsia" w:ascii="宋体" w:hAnsi="宋体" w:eastAsia="宋体" w:cs="宋体"/>
                <w:sz w:val="20"/>
                <w:szCs w:val="20"/>
              </w:rPr>
            </w:pPr>
            <w:r>
              <w:rPr>
                <w:rFonts w:hint="eastAsia" w:ascii="宋体" w:hAnsi="宋体" w:eastAsia="宋体" w:cs="宋体"/>
                <w:sz w:val="18"/>
                <w:szCs w:val="18"/>
              </w:rPr>
              <w:t>组织</w:t>
            </w:r>
            <w:r>
              <w:rPr>
                <w:rFonts w:hint="eastAsia" w:ascii="宋体" w:hAnsi="宋体"/>
                <w:sz w:val="18"/>
                <w:szCs w:val="18"/>
              </w:rPr>
              <w:t>形态</w:t>
            </w:r>
          </w:p>
        </w:tc>
        <w:tc>
          <w:tcPr>
            <w:tcW w:w="3633" w:type="dxa"/>
            <w:vAlign w:val="center"/>
          </w:tcPr>
          <w:p w14:paraId="64FBF0CD">
            <w:pPr>
              <w:pStyle w:val="6"/>
              <w:widowControl/>
              <w:shd w:val="clear" w:color="auto" w:fill="FFFFFF"/>
              <w:spacing w:before="0" w:beforeAutospacing="0" w:after="0" w:afterAutospacing="0" w:line="360" w:lineRule="auto"/>
              <w:jc w:val="both"/>
              <w:rPr>
                <w:rFonts w:hint="eastAsia" w:ascii="宋体" w:hAnsi="宋体" w:eastAsia="宋体" w:cs="宋体"/>
                <w:sz w:val="18"/>
                <w:szCs w:val="18"/>
              </w:rPr>
            </w:pPr>
            <w:r>
              <w:rPr>
                <w:rFonts w:hint="eastAsia" w:ascii="宋体" w:hAnsi="宋体" w:eastAsia="宋体" w:cs="宋体"/>
                <w:sz w:val="18"/>
                <w:szCs w:val="18"/>
              </w:rPr>
              <w:t>块根近球形，或不规则圆形，肉质，直径一般在</w:t>
            </w:r>
            <w:r>
              <w:rPr>
                <w:rFonts w:ascii="宋体" w:hAnsi="宋体" w:eastAsia="宋体" w:cs="宋体"/>
                <w:sz w:val="18"/>
                <w:szCs w:val="18"/>
              </w:rPr>
              <w:t>2</w:t>
            </w:r>
            <w:r>
              <w:rPr>
                <w:rFonts w:hint="eastAsia" w:ascii="宋体" w:hAnsi="宋体" w:eastAsia="宋体" w:cs="宋体"/>
                <w:sz w:val="18"/>
                <w:szCs w:val="18"/>
              </w:rPr>
              <w:t>-</w:t>
            </w:r>
            <w:r>
              <w:rPr>
                <w:rFonts w:ascii="宋体" w:hAnsi="宋体" w:eastAsia="宋体" w:cs="宋体"/>
                <w:sz w:val="18"/>
                <w:szCs w:val="18"/>
              </w:rPr>
              <w:t>5</w:t>
            </w:r>
            <w:r>
              <w:rPr>
                <w:rFonts w:hint="eastAsia" w:ascii="宋体" w:hAnsi="宋体" w:eastAsia="宋体" w:cs="宋体"/>
                <w:sz w:val="18"/>
                <w:szCs w:val="18"/>
              </w:rPr>
              <w:t>cm，部分个体可达</w:t>
            </w:r>
            <w:r>
              <w:rPr>
                <w:rFonts w:ascii="宋体" w:hAnsi="宋体" w:eastAsia="宋体" w:cs="宋体"/>
                <w:sz w:val="18"/>
                <w:szCs w:val="18"/>
              </w:rPr>
              <w:t>8</w:t>
            </w:r>
            <w:r>
              <w:rPr>
                <w:rFonts w:hint="eastAsia" w:ascii="宋体" w:hAnsi="宋体" w:eastAsia="宋体" w:cs="宋体"/>
                <w:sz w:val="18"/>
                <w:szCs w:val="18"/>
              </w:rPr>
              <w:t>cm。表皮颜色多为黄褐色或淡褐色，表面光滑，有断续的环状轮纹，质地坚实。切开后，内部肉质洁白细腻。</w:t>
            </w:r>
          </w:p>
        </w:tc>
        <w:tc>
          <w:tcPr>
            <w:tcW w:w="3050" w:type="dxa"/>
            <w:vMerge w:val="restart"/>
            <w:vAlign w:val="center"/>
          </w:tcPr>
          <w:p w14:paraId="3051DF76">
            <w:pPr>
              <w:widowControl/>
              <w:jc w:val="both"/>
              <w:rPr>
                <w:rFonts w:hint="eastAsia" w:ascii="宋体" w:hAnsi="宋体" w:eastAsia="宋体" w:cs="宋体"/>
                <w:sz w:val="20"/>
                <w:szCs w:val="20"/>
              </w:rPr>
            </w:pPr>
            <w:r>
              <w:rPr>
                <w:rFonts w:hint="eastAsia" w:ascii="宋体" w:hAnsi="宋体" w:eastAsia="宋体" w:cs="宋体"/>
                <w:sz w:val="18"/>
                <w:szCs w:val="18"/>
                <w:lang w:bidi="ar"/>
              </w:rPr>
              <w:t>取适量样品置于洁净白色瓷盘中，在自然光线下目测形态、色泽、杂质，嗅其气味、尝其滋味。</w:t>
            </w:r>
          </w:p>
        </w:tc>
      </w:tr>
      <w:tr w14:paraId="7FA3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vAlign w:val="center"/>
          </w:tcPr>
          <w:p w14:paraId="3EE1E15E">
            <w:pPr>
              <w:widowControl w:val="0"/>
              <w:jc w:val="center"/>
              <w:rPr>
                <w:rFonts w:hint="eastAsia" w:ascii="宋体" w:hAnsi="宋体" w:eastAsia="宋体" w:cs="宋体"/>
                <w:sz w:val="20"/>
                <w:szCs w:val="20"/>
              </w:rPr>
            </w:pPr>
            <w:r>
              <w:rPr>
                <w:rFonts w:hint="eastAsia" w:ascii="宋体" w:hAnsi="宋体"/>
                <w:sz w:val="18"/>
                <w:szCs w:val="18"/>
              </w:rPr>
              <w:t>色泽</w:t>
            </w:r>
          </w:p>
        </w:tc>
        <w:tc>
          <w:tcPr>
            <w:tcW w:w="3633" w:type="dxa"/>
            <w:vAlign w:val="center"/>
          </w:tcPr>
          <w:p w14:paraId="7A8FAF4F">
            <w:pPr>
              <w:widowControl w:val="0"/>
              <w:spacing w:before="66" w:line="360" w:lineRule="auto"/>
              <w:jc w:val="both"/>
              <w:rPr>
                <w:rFonts w:hint="eastAsia" w:ascii="宋体" w:hAnsi="宋体" w:eastAsia="宋体" w:cs="宋体"/>
                <w:sz w:val="18"/>
                <w:szCs w:val="18"/>
              </w:rPr>
            </w:pPr>
            <w:r>
              <w:rPr>
                <w:rFonts w:hint="eastAsia" w:ascii="宋体" w:hAnsi="宋体" w:eastAsia="宋体" w:cs="宋体"/>
                <w:sz w:val="18"/>
                <w:szCs w:val="18"/>
              </w:rPr>
              <w:t>鲜品断面白色或浅黄白色；干品断面黄白色，略显粉性</w:t>
            </w:r>
          </w:p>
        </w:tc>
        <w:tc>
          <w:tcPr>
            <w:tcW w:w="3050" w:type="dxa"/>
            <w:vMerge w:val="continue"/>
          </w:tcPr>
          <w:p w14:paraId="75455392">
            <w:pPr>
              <w:widowControl w:val="0"/>
              <w:spacing w:before="66" w:line="226" w:lineRule="auto"/>
              <w:jc w:val="center"/>
              <w:rPr>
                <w:rFonts w:hint="eastAsia" w:ascii="宋体" w:hAnsi="宋体" w:eastAsia="宋体" w:cs="宋体"/>
                <w:sz w:val="20"/>
                <w:szCs w:val="20"/>
              </w:rPr>
            </w:pPr>
          </w:p>
        </w:tc>
      </w:tr>
      <w:tr w14:paraId="3B90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vAlign w:val="center"/>
          </w:tcPr>
          <w:p w14:paraId="50E8DAC6">
            <w:pPr>
              <w:widowControl w:val="0"/>
              <w:jc w:val="center"/>
              <w:rPr>
                <w:rFonts w:hint="eastAsia" w:ascii="宋体" w:hAnsi="宋体" w:eastAsia="宋体" w:cs="宋体"/>
                <w:sz w:val="20"/>
                <w:szCs w:val="20"/>
              </w:rPr>
            </w:pPr>
            <w:r>
              <w:rPr>
                <w:rFonts w:hint="eastAsia" w:ascii="宋体" w:hAnsi="宋体"/>
                <w:sz w:val="18"/>
                <w:szCs w:val="18"/>
              </w:rPr>
              <w:t>气味、滋味</w:t>
            </w:r>
          </w:p>
        </w:tc>
        <w:tc>
          <w:tcPr>
            <w:tcW w:w="3633" w:type="dxa"/>
            <w:vAlign w:val="center"/>
          </w:tcPr>
          <w:p w14:paraId="101DB287">
            <w:pPr>
              <w:pStyle w:val="6"/>
              <w:widowControl/>
              <w:shd w:val="clear" w:color="auto" w:fill="FFFFFF"/>
              <w:spacing w:before="0" w:beforeAutospacing="0" w:after="0" w:afterAutospacing="0" w:line="360" w:lineRule="auto"/>
              <w:jc w:val="both"/>
              <w:rPr>
                <w:rFonts w:hint="eastAsia" w:ascii="宋体" w:hAnsi="宋体" w:eastAsia="宋体" w:cs="宋体"/>
                <w:sz w:val="20"/>
                <w:szCs w:val="20"/>
              </w:rPr>
            </w:pPr>
            <w:r>
              <w:rPr>
                <w:rFonts w:hint="eastAsia" w:ascii="宋体" w:hAnsi="宋体" w:eastAsia="宋体" w:cs="宋体"/>
                <w:sz w:val="18"/>
                <w:szCs w:val="18"/>
              </w:rPr>
              <w:t>鲜品气微，味甘，具本品特有的清香；熟制后味甘、清香。</w:t>
            </w:r>
          </w:p>
        </w:tc>
        <w:tc>
          <w:tcPr>
            <w:tcW w:w="3050" w:type="dxa"/>
            <w:vMerge w:val="continue"/>
          </w:tcPr>
          <w:p w14:paraId="5E569B4A">
            <w:pPr>
              <w:widowControl w:val="0"/>
              <w:spacing w:before="66" w:line="226" w:lineRule="auto"/>
              <w:jc w:val="center"/>
              <w:rPr>
                <w:rFonts w:hint="eastAsia" w:ascii="宋体" w:hAnsi="宋体" w:eastAsia="宋体" w:cs="宋体"/>
                <w:sz w:val="20"/>
                <w:szCs w:val="20"/>
              </w:rPr>
            </w:pPr>
          </w:p>
        </w:tc>
      </w:tr>
      <w:tr w14:paraId="31B6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1" w:type="dxa"/>
            <w:vAlign w:val="center"/>
          </w:tcPr>
          <w:p w14:paraId="2AD4CC41">
            <w:pPr>
              <w:widowControl w:val="0"/>
              <w:jc w:val="center"/>
              <w:rPr>
                <w:rFonts w:hint="eastAsia" w:ascii="宋体" w:hAnsi="宋体" w:eastAsia="宋体" w:cs="宋体"/>
                <w:sz w:val="20"/>
                <w:szCs w:val="20"/>
              </w:rPr>
            </w:pPr>
            <w:r>
              <w:rPr>
                <w:rFonts w:hint="eastAsia" w:ascii="宋体" w:hAnsi="宋体"/>
                <w:sz w:val="18"/>
                <w:szCs w:val="18"/>
              </w:rPr>
              <w:t>杂质</w:t>
            </w:r>
          </w:p>
        </w:tc>
        <w:tc>
          <w:tcPr>
            <w:tcW w:w="3633" w:type="dxa"/>
            <w:vAlign w:val="center"/>
          </w:tcPr>
          <w:p w14:paraId="40ACB5B3">
            <w:pPr>
              <w:widowControl w:val="0"/>
              <w:spacing w:before="66" w:line="360" w:lineRule="auto"/>
              <w:jc w:val="both"/>
              <w:rPr>
                <w:rFonts w:hint="eastAsia" w:ascii="宋体" w:hAnsi="宋体" w:eastAsia="宋体" w:cs="宋体"/>
                <w:sz w:val="20"/>
                <w:szCs w:val="20"/>
              </w:rPr>
            </w:pPr>
            <w:r>
              <w:rPr>
                <w:rFonts w:hint="eastAsia" w:ascii="宋体" w:hAnsi="宋体"/>
                <w:sz w:val="18"/>
                <w:szCs w:val="18"/>
              </w:rPr>
              <w:t>无肉眼可见的外来杂质。</w:t>
            </w:r>
          </w:p>
        </w:tc>
        <w:tc>
          <w:tcPr>
            <w:tcW w:w="3050" w:type="dxa"/>
            <w:vMerge w:val="continue"/>
          </w:tcPr>
          <w:p w14:paraId="3CC376EF">
            <w:pPr>
              <w:widowControl w:val="0"/>
              <w:spacing w:before="66" w:line="226" w:lineRule="auto"/>
              <w:jc w:val="center"/>
              <w:rPr>
                <w:rFonts w:hint="eastAsia" w:ascii="宋体" w:hAnsi="宋体" w:eastAsia="宋体" w:cs="宋体"/>
                <w:sz w:val="20"/>
                <w:szCs w:val="20"/>
              </w:rPr>
            </w:pPr>
          </w:p>
        </w:tc>
      </w:tr>
    </w:tbl>
    <w:p w14:paraId="414CC2F3">
      <w:pPr>
        <w:spacing w:before="66" w:line="226" w:lineRule="auto"/>
        <w:ind w:firstLine="400" w:firstLineChars="200"/>
        <w:jc w:val="both"/>
        <w:rPr>
          <w:rFonts w:hint="eastAsia" w:ascii="宋体" w:hAnsi="宋体" w:eastAsia="宋体" w:cs="宋体"/>
          <w:sz w:val="20"/>
          <w:szCs w:val="20"/>
        </w:rPr>
      </w:pPr>
    </w:p>
    <w:p w14:paraId="38DFB979">
      <w:pPr>
        <w:spacing w:before="65" w:line="231" w:lineRule="auto"/>
        <w:ind w:left="16" w:firstLine="408" w:firstLineChars="200"/>
        <w:outlineLvl w:val="0"/>
        <w:rPr>
          <w:rFonts w:hint="eastAsia" w:ascii="黑体" w:hAnsi="黑体" w:eastAsia="黑体" w:cs="黑体"/>
          <w:spacing w:val="2"/>
          <w:sz w:val="20"/>
          <w:szCs w:val="20"/>
        </w:rPr>
      </w:pPr>
      <w:r>
        <w:rPr>
          <w:rFonts w:hint="eastAsia" w:ascii="黑体" w:hAnsi="黑体" w:eastAsia="黑体" w:cs="黑体"/>
          <w:spacing w:val="2"/>
          <w:sz w:val="20"/>
          <w:szCs w:val="20"/>
        </w:rPr>
        <w:t>4.3 理化指标</w:t>
      </w:r>
    </w:p>
    <w:p w14:paraId="79DB1E96">
      <w:pPr>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表2 理化指标</w:t>
      </w:r>
    </w:p>
    <w:tbl>
      <w:tblPr>
        <w:tblStyle w:val="8"/>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3648"/>
        <w:gridCol w:w="3050"/>
      </w:tblGrid>
      <w:tr w14:paraId="1003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tcPr>
          <w:p w14:paraId="66315335">
            <w:pPr>
              <w:widowControl w:val="0"/>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项目</w:t>
            </w:r>
          </w:p>
        </w:tc>
        <w:tc>
          <w:tcPr>
            <w:tcW w:w="3648" w:type="dxa"/>
          </w:tcPr>
          <w:p w14:paraId="0D51F5B1">
            <w:pPr>
              <w:widowControl w:val="0"/>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指标</w:t>
            </w:r>
          </w:p>
        </w:tc>
        <w:tc>
          <w:tcPr>
            <w:tcW w:w="3050" w:type="dxa"/>
          </w:tcPr>
          <w:p w14:paraId="1C4B4E2F">
            <w:pPr>
              <w:widowControl w:val="0"/>
              <w:spacing w:before="66" w:line="226" w:lineRule="auto"/>
              <w:jc w:val="center"/>
              <w:rPr>
                <w:rFonts w:hint="eastAsia" w:ascii="宋体" w:hAnsi="宋体" w:eastAsia="宋体" w:cs="宋体"/>
                <w:sz w:val="20"/>
                <w:szCs w:val="20"/>
              </w:rPr>
            </w:pPr>
            <w:r>
              <w:rPr>
                <w:rFonts w:hint="eastAsia" w:ascii="宋体" w:hAnsi="宋体" w:eastAsia="宋体" w:cs="宋体"/>
                <w:sz w:val="20"/>
                <w:szCs w:val="20"/>
              </w:rPr>
              <w:t>检验方法</w:t>
            </w:r>
          </w:p>
        </w:tc>
      </w:tr>
      <w:tr w14:paraId="07E3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tcPr>
          <w:p w14:paraId="6600BFCD">
            <w:pPr>
              <w:widowControl w:val="0"/>
              <w:spacing w:before="66" w:line="226" w:lineRule="auto"/>
              <w:jc w:val="both"/>
              <w:rPr>
                <w:sz w:val="18"/>
                <w:szCs w:val="18"/>
              </w:rPr>
            </w:pPr>
            <w:r>
              <w:rPr>
                <w:sz w:val="18"/>
                <w:szCs w:val="18"/>
              </w:rPr>
              <w:t>水分，</w:t>
            </w:r>
            <w:r>
              <w:rPr>
                <w:rFonts w:hint="eastAsia" w:eastAsiaTheme="minorEastAsia"/>
                <w:sz w:val="18"/>
                <w:szCs w:val="18"/>
              </w:rPr>
              <w:t>g/100g</w:t>
            </w:r>
            <w:r>
              <w:rPr>
                <w:rFonts w:hint="eastAsia" w:eastAsia="宋体"/>
                <w:sz w:val="18"/>
                <w:szCs w:val="18"/>
              </w:rPr>
              <w:t xml:space="preserve">       </w:t>
            </w:r>
            <w:r>
              <w:rPr>
                <w:rFonts w:hint="eastAsia"/>
                <w:sz w:val="18"/>
                <w:szCs w:val="18"/>
              </w:rPr>
              <w:t xml:space="preserve">       </w:t>
            </w:r>
            <w:r>
              <w:rPr>
                <w:rFonts w:ascii="宋体" w:hAnsi="宋体"/>
                <w:sz w:val="18"/>
                <w:szCs w:val="18"/>
              </w:rPr>
              <w:t>≤</w:t>
            </w:r>
          </w:p>
        </w:tc>
        <w:tc>
          <w:tcPr>
            <w:tcW w:w="3648" w:type="dxa"/>
          </w:tcPr>
          <w:p w14:paraId="45CAFE01">
            <w:pPr>
              <w:widowControl w:val="0"/>
              <w:spacing w:before="66" w:line="226" w:lineRule="auto"/>
              <w:jc w:val="center"/>
              <w:rPr>
                <w:sz w:val="18"/>
                <w:szCs w:val="18"/>
              </w:rPr>
            </w:pPr>
            <w:r>
              <w:rPr>
                <w:rFonts w:hint="eastAsia" w:eastAsiaTheme="minorEastAsia"/>
                <w:sz w:val="18"/>
                <w:szCs w:val="18"/>
              </w:rPr>
              <w:t>10</w:t>
            </w:r>
            <w:r>
              <w:rPr>
                <w:rFonts w:hint="eastAsia"/>
                <w:sz w:val="18"/>
                <w:szCs w:val="18"/>
              </w:rPr>
              <w:t>.0</w:t>
            </w:r>
          </w:p>
        </w:tc>
        <w:tc>
          <w:tcPr>
            <w:tcW w:w="3050" w:type="dxa"/>
          </w:tcPr>
          <w:p w14:paraId="177F40BC">
            <w:pPr>
              <w:widowControl w:val="0"/>
              <w:spacing w:before="66" w:line="226" w:lineRule="auto"/>
              <w:jc w:val="center"/>
              <w:rPr>
                <w:rFonts w:hint="eastAsia" w:ascii="宋体" w:hAnsi="宋体" w:eastAsia="宋体" w:cs="宋体"/>
                <w:sz w:val="20"/>
                <w:szCs w:val="20"/>
              </w:rPr>
            </w:pPr>
            <w:r>
              <w:rPr>
                <w:sz w:val="18"/>
                <w:szCs w:val="18"/>
              </w:rPr>
              <w:t>GB 5009.3</w:t>
            </w:r>
          </w:p>
        </w:tc>
      </w:tr>
      <w:tr w14:paraId="5BED0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tcPr>
          <w:p w14:paraId="324EDDAF">
            <w:pPr>
              <w:widowControl w:val="0"/>
              <w:spacing w:before="66" w:line="226" w:lineRule="auto"/>
              <w:jc w:val="both"/>
              <w:rPr>
                <w:rFonts w:hint="eastAsia" w:ascii="宋体" w:hAnsi="宋体" w:eastAsia="微软雅黑" w:cs="宋体"/>
                <w:sz w:val="20"/>
                <w:szCs w:val="20"/>
              </w:rPr>
            </w:pPr>
            <w:r>
              <w:rPr>
                <w:rFonts w:hint="eastAsia"/>
                <w:sz w:val="18"/>
                <w:szCs w:val="18"/>
              </w:rPr>
              <w:t>总灰分</w:t>
            </w:r>
            <w:r>
              <w:rPr>
                <w:sz w:val="18"/>
                <w:szCs w:val="18"/>
              </w:rPr>
              <w:t>，</w:t>
            </w:r>
            <w:r>
              <w:rPr>
                <w:rFonts w:hint="eastAsia" w:eastAsiaTheme="minorEastAsia"/>
                <w:sz w:val="18"/>
                <w:szCs w:val="18"/>
              </w:rPr>
              <w:t>g/100g</w:t>
            </w:r>
            <w:r>
              <w:rPr>
                <w:rFonts w:hint="eastAsia" w:eastAsia="宋体"/>
                <w:sz w:val="18"/>
                <w:szCs w:val="18"/>
              </w:rPr>
              <w:t xml:space="preserve">           </w:t>
            </w:r>
            <w:r>
              <w:rPr>
                <w:rFonts w:ascii="宋体" w:hAnsi="宋体"/>
                <w:sz w:val="18"/>
                <w:szCs w:val="18"/>
              </w:rPr>
              <w:t>≤</w:t>
            </w:r>
          </w:p>
        </w:tc>
        <w:tc>
          <w:tcPr>
            <w:tcW w:w="3648" w:type="dxa"/>
          </w:tcPr>
          <w:p w14:paraId="169B5BD1">
            <w:pPr>
              <w:widowControl w:val="0"/>
              <w:spacing w:before="66" w:line="226" w:lineRule="auto"/>
              <w:jc w:val="center"/>
              <w:rPr>
                <w:rFonts w:hint="eastAsia" w:ascii="宋体" w:hAnsi="宋体" w:eastAsia="宋体" w:cs="宋体"/>
                <w:sz w:val="20"/>
                <w:szCs w:val="20"/>
              </w:rPr>
            </w:pPr>
            <w:r>
              <w:rPr>
                <w:rFonts w:hint="eastAsia" w:eastAsiaTheme="minorEastAsia"/>
                <w:sz w:val="18"/>
                <w:szCs w:val="18"/>
              </w:rPr>
              <w:t>5</w:t>
            </w:r>
            <w:r>
              <w:rPr>
                <w:sz w:val="18"/>
                <w:szCs w:val="18"/>
              </w:rPr>
              <w:t>.0</w:t>
            </w:r>
          </w:p>
        </w:tc>
        <w:tc>
          <w:tcPr>
            <w:tcW w:w="3050" w:type="dxa"/>
          </w:tcPr>
          <w:p w14:paraId="611E2136">
            <w:pPr>
              <w:widowControl w:val="0"/>
              <w:spacing w:before="66" w:line="226" w:lineRule="auto"/>
              <w:jc w:val="center"/>
              <w:rPr>
                <w:rFonts w:hint="eastAsia" w:ascii="宋体" w:hAnsi="宋体" w:eastAsia="宋体" w:cs="宋体"/>
                <w:sz w:val="20"/>
                <w:szCs w:val="20"/>
              </w:rPr>
            </w:pPr>
            <w:r>
              <w:rPr>
                <w:sz w:val="18"/>
                <w:szCs w:val="18"/>
              </w:rPr>
              <w:t>GB 5009.</w:t>
            </w:r>
            <w:r>
              <w:rPr>
                <w:rFonts w:hint="eastAsia" w:eastAsia="宋体"/>
                <w:sz w:val="18"/>
                <w:szCs w:val="18"/>
              </w:rPr>
              <w:t xml:space="preserve">4 </w:t>
            </w:r>
          </w:p>
        </w:tc>
      </w:tr>
      <w:tr w14:paraId="3E81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tcPr>
          <w:p w14:paraId="3064580D">
            <w:pPr>
              <w:widowControl w:val="0"/>
              <w:spacing w:before="66" w:line="226" w:lineRule="auto"/>
              <w:ind w:left="200" w:hanging="200" w:hangingChars="100"/>
              <w:jc w:val="both"/>
              <w:rPr>
                <w:rFonts w:hint="eastAsia" w:ascii="宋体" w:hAnsi="宋体" w:eastAsia="宋体" w:cs="宋体"/>
                <w:sz w:val="20"/>
                <w:szCs w:val="20"/>
              </w:rPr>
            </w:pPr>
            <w:r>
              <w:rPr>
                <w:rFonts w:hint="eastAsia" w:ascii="宋体" w:hAnsi="宋体" w:eastAsia="宋体" w:cs="宋体"/>
                <w:sz w:val="20"/>
                <w:szCs w:val="20"/>
              </w:rPr>
              <w:t>总皂苷</w:t>
            </w:r>
            <w:r>
              <w:rPr>
                <w:rFonts w:ascii="宋体" w:hAnsi="宋体" w:eastAsia="宋体" w:cs="宋体"/>
                <w:sz w:val="20"/>
                <w:szCs w:val="20"/>
              </w:rPr>
              <w:t>(以人参皂苷Re计)</w:t>
            </w:r>
            <w:r>
              <w:rPr>
                <w:rFonts w:hint="eastAsia" w:ascii="宋体" w:hAnsi="宋体" w:eastAsia="宋体" w:cs="宋体"/>
                <w:sz w:val="20"/>
                <w:szCs w:val="20"/>
              </w:rPr>
              <w:t>，</w:t>
            </w:r>
            <w:r>
              <w:rPr>
                <w:rFonts w:hint="eastAsia" w:eastAsiaTheme="minorEastAsia"/>
                <w:sz w:val="18"/>
                <w:szCs w:val="18"/>
              </w:rPr>
              <w:t>g/100g</w:t>
            </w:r>
            <w:r>
              <w:rPr>
                <w:rFonts w:hint="eastAsia" w:eastAsia="宋体"/>
                <w:sz w:val="18"/>
                <w:szCs w:val="18"/>
              </w:rPr>
              <w:t xml:space="preserve">                  </w:t>
            </w:r>
            <w:r>
              <w:rPr>
                <w:rFonts w:ascii="宋体" w:hAnsi="宋体"/>
                <w:sz w:val="18"/>
                <w:szCs w:val="18"/>
              </w:rPr>
              <w:t>≥</w:t>
            </w:r>
          </w:p>
        </w:tc>
        <w:tc>
          <w:tcPr>
            <w:tcW w:w="3648" w:type="dxa"/>
          </w:tcPr>
          <w:p w14:paraId="1492AC4A">
            <w:pPr>
              <w:widowControl w:val="0"/>
              <w:spacing w:before="66" w:line="226" w:lineRule="auto"/>
              <w:jc w:val="center"/>
              <w:rPr>
                <w:rFonts w:hint="eastAsia" w:ascii="宋体" w:hAnsi="宋体" w:cs="宋体" w:eastAsiaTheme="minorEastAsia"/>
                <w:sz w:val="20"/>
                <w:szCs w:val="20"/>
              </w:rPr>
            </w:pPr>
            <w:r>
              <w:rPr>
                <w:rFonts w:hint="eastAsia" w:eastAsiaTheme="minorEastAsia"/>
                <w:sz w:val="18"/>
                <w:szCs w:val="18"/>
              </w:rPr>
              <w:t>0.2</w:t>
            </w:r>
          </w:p>
        </w:tc>
        <w:tc>
          <w:tcPr>
            <w:tcW w:w="3050" w:type="dxa"/>
          </w:tcPr>
          <w:p w14:paraId="59E843E2">
            <w:pPr>
              <w:widowControl w:val="0"/>
              <w:kinsoku/>
              <w:autoSpaceDE/>
              <w:autoSpaceDN/>
              <w:adjustRightInd/>
              <w:snapToGrid/>
              <w:ind w:firstLine="360" w:firstLineChars="200"/>
              <w:jc w:val="both"/>
              <w:textAlignment w:val="auto"/>
              <w:rPr>
                <w:rFonts w:hint="eastAsia" w:ascii="宋体" w:hAnsi="宋体" w:eastAsia="宋体" w:cs="宋体"/>
                <w:sz w:val="20"/>
                <w:szCs w:val="20"/>
              </w:rPr>
            </w:pPr>
            <w:r>
              <w:rPr>
                <w:rFonts w:hint="eastAsia" w:ascii="宋体" w:hAnsi="宋体" w:eastAsia="宋体" w:cs="宋体"/>
                <w:sz w:val="18"/>
                <w:szCs w:val="18"/>
              </w:rPr>
              <w:t>保健食品理化及卫生指标检验与评价技术指导原则（</w:t>
            </w:r>
            <w:r>
              <w:rPr>
                <w:sz w:val="18"/>
                <w:szCs w:val="18"/>
              </w:rPr>
              <w:t>2020</w:t>
            </w:r>
            <w:r>
              <w:rPr>
                <w:rFonts w:hint="eastAsia" w:ascii="宋体" w:hAnsi="宋体" w:eastAsia="宋体" w:cs="宋体"/>
                <w:sz w:val="18"/>
                <w:szCs w:val="18"/>
              </w:rPr>
              <w:t>年版）</w:t>
            </w:r>
          </w:p>
        </w:tc>
      </w:tr>
    </w:tbl>
    <w:p w14:paraId="7CB610B7">
      <w:pPr>
        <w:spacing w:before="66" w:line="226" w:lineRule="auto"/>
        <w:rPr>
          <w:rFonts w:hint="eastAsia" w:ascii="宋体" w:hAnsi="宋体" w:eastAsia="宋体" w:cs="宋体"/>
          <w:sz w:val="20"/>
          <w:szCs w:val="20"/>
        </w:rPr>
      </w:pPr>
    </w:p>
    <w:p w14:paraId="6FAC24B4">
      <w:pPr>
        <w:spacing w:before="65" w:line="360" w:lineRule="auto"/>
        <w:ind w:left="16" w:firstLine="408" w:firstLineChars="200"/>
        <w:outlineLvl w:val="0"/>
        <w:rPr>
          <w:rFonts w:hint="eastAsia" w:ascii="黑体" w:hAnsi="黑体" w:eastAsia="黑体" w:cs="黑体"/>
          <w:spacing w:val="2"/>
          <w:sz w:val="20"/>
          <w:szCs w:val="20"/>
        </w:rPr>
      </w:pPr>
      <w:r>
        <w:rPr>
          <w:rFonts w:hint="eastAsia" w:ascii="黑体" w:hAnsi="黑体" w:eastAsia="黑体" w:cs="黑体"/>
          <w:spacing w:val="2"/>
          <w:sz w:val="20"/>
          <w:szCs w:val="20"/>
        </w:rPr>
        <w:t>4.4 污染物限量</w:t>
      </w:r>
    </w:p>
    <w:p w14:paraId="066CE837">
      <w:pPr>
        <w:pStyle w:val="16"/>
        <w:tabs>
          <w:tab w:val="center" w:pos="4201"/>
          <w:tab w:val="right" w:leader="dot" w:pos="9298"/>
        </w:tabs>
        <w:spacing w:line="360" w:lineRule="auto"/>
        <w:ind w:firstLine="400"/>
        <w:rPr>
          <w:rFonts w:ascii="Times New Roman"/>
        </w:rPr>
      </w:pPr>
      <w:r>
        <w:rPr>
          <w:rFonts w:hint="eastAsia" w:hAnsi="宋体" w:cs="宋体"/>
          <w:snapToGrid w:val="0"/>
          <w:color w:val="000000"/>
          <w:sz w:val="20"/>
        </w:rPr>
        <w:t>污染物限量应符合表3的规定。</w:t>
      </w:r>
    </w:p>
    <w:p w14:paraId="1B152BE6">
      <w:pPr>
        <w:pStyle w:val="27"/>
        <w:numPr>
          <w:ilvl w:val="0"/>
          <w:numId w:val="0"/>
        </w:numPr>
        <w:spacing w:before="120" w:after="120"/>
        <w:rPr>
          <w:rFonts w:hint="eastAsia" w:ascii="宋体" w:hAnsi="宋体" w:eastAsia="宋体" w:cs="宋体"/>
          <w:snapToGrid w:val="0"/>
          <w:color w:val="000000"/>
          <w:sz w:val="20"/>
        </w:rPr>
      </w:pPr>
      <w:r>
        <w:rPr>
          <w:rFonts w:hint="eastAsia" w:ascii="宋体" w:hAnsi="宋体" w:eastAsia="宋体" w:cs="宋体"/>
          <w:snapToGrid w:val="0"/>
          <w:color w:val="000000"/>
          <w:sz w:val="20"/>
        </w:rPr>
        <w:t>表3</w:t>
      </w:r>
      <w:r>
        <w:rPr>
          <w:rFonts w:ascii="宋体" w:hAnsi="宋体" w:eastAsia="宋体" w:cs="宋体"/>
          <w:snapToGrid w:val="0"/>
          <w:color w:val="000000"/>
          <w:sz w:val="20"/>
        </w:rPr>
        <w:t xml:space="preserve"> </w:t>
      </w:r>
      <w:r>
        <w:rPr>
          <w:rFonts w:hint="eastAsia" w:ascii="宋体" w:hAnsi="宋体" w:eastAsia="宋体" w:cs="宋体"/>
          <w:snapToGrid w:val="0"/>
          <w:color w:val="000000"/>
          <w:sz w:val="20"/>
        </w:rPr>
        <w:t>污染物限量</w:t>
      </w:r>
    </w:p>
    <w:tbl>
      <w:tblPr>
        <w:tblStyle w:val="7"/>
        <w:tblW w:w="0" w:type="auto"/>
        <w:tblInd w:w="25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3437"/>
        <w:gridCol w:w="3190"/>
      </w:tblGrid>
      <w:tr w14:paraId="782E0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693" w:type="dxa"/>
            <w:tcBorders>
              <w:top w:val="single" w:color="auto" w:sz="8" w:space="0"/>
              <w:bottom w:val="single" w:color="auto" w:sz="8" w:space="0"/>
            </w:tcBorders>
          </w:tcPr>
          <w:p w14:paraId="1641C696">
            <w:pPr>
              <w:jc w:val="center"/>
              <w:rPr>
                <w:sz w:val="18"/>
                <w:szCs w:val="18"/>
              </w:rPr>
            </w:pPr>
            <w:r>
              <w:rPr>
                <w:rFonts w:hAnsi="宋体"/>
                <w:sz w:val="18"/>
                <w:szCs w:val="18"/>
              </w:rPr>
              <w:t>项</w:t>
            </w:r>
            <w:r>
              <w:rPr>
                <w:sz w:val="18"/>
                <w:szCs w:val="18"/>
              </w:rPr>
              <w:t xml:space="preserve">  </w:t>
            </w:r>
            <w:r>
              <w:rPr>
                <w:rFonts w:hAnsi="宋体"/>
                <w:sz w:val="18"/>
                <w:szCs w:val="18"/>
              </w:rPr>
              <w:t>目</w:t>
            </w:r>
          </w:p>
        </w:tc>
        <w:tc>
          <w:tcPr>
            <w:tcW w:w="3437" w:type="dxa"/>
            <w:tcBorders>
              <w:top w:val="single" w:color="auto" w:sz="8" w:space="0"/>
              <w:bottom w:val="single" w:color="auto" w:sz="8" w:space="0"/>
            </w:tcBorders>
          </w:tcPr>
          <w:p w14:paraId="746C2C86">
            <w:pPr>
              <w:jc w:val="center"/>
              <w:rPr>
                <w:sz w:val="18"/>
                <w:szCs w:val="18"/>
              </w:rPr>
            </w:pPr>
            <w:r>
              <w:rPr>
                <w:sz w:val="18"/>
                <w:szCs w:val="18"/>
              </w:rPr>
              <w:t>指  标</w:t>
            </w:r>
          </w:p>
        </w:tc>
        <w:tc>
          <w:tcPr>
            <w:tcW w:w="3190" w:type="dxa"/>
            <w:tcBorders>
              <w:top w:val="single" w:color="auto" w:sz="8" w:space="0"/>
              <w:bottom w:val="single" w:color="auto" w:sz="8" w:space="0"/>
            </w:tcBorders>
          </w:tcPr>
          <w:p w14:paraId="74F50E2F">
            <w:pPr>
              <w:jc w:val="center"/>
              <w:rPr>
                <w:sz w:val="18"/>
                <w:szCs w:val="18"/>
              </w:rPr>
            </w:pPr>
            <w:r>
              <w:rPr>
                <w:sz w:val="18"/>
                <w:szCs w:val="18"/>
              </w:rPr>
              <w:t>检验方法</w:t>
            </w:r>
          </w:p>
        </w:tc>
      </w:tr>
      <w:tr w14:paraId="4210B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693" w:type="dxa"/>
            <w:tcBorders>
              <w:top w:val="single" w:color="auto" w:sz="8" w:space="0"/>
            </w:tcBorders>
          </w:tcPr>
          <w:p w14:paraId="186FA434">
            <w:pPr>
              <w:rPr>
                <w:sz w:val="18"/>
                <w:szCs w:val="18"/>
              </w:rPr>
            </w:pPr>
            <w:r>
              <w:rPr>
                <w:rFonts w:hint="eastAsia" w:ascii="宋体" w:hAnsi="宋体" w:eastAsia="宋体" w:cs="宋体"/>
                <w:sz w:val="18"/>
                <w:szCs w:val="18"/>
              </w:rPr>
              <w:t>铅</w:t>
            </w:r>
            <w:r>
              <w:rPr>
                <w:sz w:val="18"/>
                <w:szCs w:val="18"/>
              </w:rPr>
              <w:t xml:space="preserve"> (</w:t>
            </w:r>
            <w:r>
              <w:rPr>
                <w:rFonts w:hint="eastAsia" w:ascii="宋体" w:hAnsi="宋体" w:eastAsia="宋体" w:cs="宋体"/>
                <w:sz w:val="18"/>
                <w:szCs w:val="18"/>
              </w:rPr>
              <w:t>以</w:t>
            </w:r>
            <w:r>
              <w:rPr>
                <w:sz w:val="18"/>
                <w:szCs w:val="18"/>
              </w:rPr>
              <w:t>Pb</w:t>
            </w:r>
            <w:r>
              <w:rPr>
                <w:rFonts w:hint="eastAsia" w:ascii="宋体" w:hAnsi="宋体" w:eastAsia="宋体" w:cs="宋体"/>
                <w:sz w:val="18"/>
                <w:szCs w:val="18"/>
              </w:rPr>
              <w:t>计</w:t>
            </w:r>
            <w:r>
              <w:rPr>
                <w:sz w:val="18"/>
                <w:szCs w:val="18"/>
              </w:rPr>
              <w:t>)</w:t>
            </w:r>
            <w:r>
              <w:rPr>
                <w:rFonts w:hint="eastAsia" w:ascii="宋体" w:hAnsi="宋体" w:eastAsia="宋体" w:cs="宋体"/>
                <w:sz w:val="18"/>
                <w:szCs w:val="18"/>
              </w:rPr>
              <w:t>，</w:t>
            </w:r>
            <w:r>
              <w:rPr>
                <w:sz w:val="18"/>
                <w:szCs w:val="18"/>
              </w:rPr>
              <w:t xml:space="preserve">mg/kg           </w:t>
            </w:r>
            <w:r>
              <w:rPr>
                <w:rFonts w:hint="eastAsia" w:eastAsia="宋体"/>
                <w:sz w:val="18"/>
                <w:szCs w:val="18"/>
              </w:rPr>
              <w:t xml:space="preserve">  </w:t>
            </w:r>
            <w:r>
              <w:rPr>
                <w:rFonts w:ascii="宋体" w:hAnsi="宋体"/>
                <w:sz w:val="18"/>
                <w:szCs w:val="18"/>
              </w:rPr>
              <w:t>≤</w:t>
            </w:r>
          </w:p>
        </w:tc>
        <w:tc>
          <w:tcPr>
            <w:tcW w:w="3437" w:type="dxa"/>
            <w:tcBorders>
              <w:top w:val="single" w:color="auto" w:sz="8" w:space="0"/>
            </w:tcBorders>
          </w:tcPr>
          <w:p w14:paraId="0DFB228E">
            <w:pPr>
              <w:jc w:val="center"/>
              <w:rPr>
                <w:rFonts w:eastAsiaTheme="minorEastAsia"/>
                <w:sz w:val="18"/>
                <w:szCs w:val="18"/>
              </w:rPr>
            </w:pPr>
            <w:r>
              <w:rPr>
                <w:sz w:val="18"/>
                <w:szCs w:val="18"/>
              </w:rPr>
              <w:t>0.</w:t>
            </w:r>
            <w:r>
              <w:rPr>
                <w:rFonts w:hint="eastAsia" w:eastAsiaTheme="minorEastAsia"/>
                <w:sz w:val="18"/>
                <w:szCs w:val="18"/>
              </w:rPr>
              <w:t>80</w:t>
            </w:r>
          </w:p>
        </w:tc>
        <w:tc>
          <w:tcPr>
            <w:tcW w:w="3190" w:type="dxa"/>
            <w:tcBorders>
              <w:top w:val="single" w:color="auto" w:sz="8" w:space="0"/>
            </w:tcBorders>
          </w:tcPr>
          <w:p w14:paraId="766955E2">
            <w:pPr>
              <w:jc w:val="center"/>
              <w:rPr>
                <w:sz w:val="18"/>
                <w:szCs w:val="18"/>
              </w:rPr>
            </w:pPr>
            <w:r>
              <w:rPr>
                <w:sz w:val="18"/>
                <w:szCs w:val="18"/>
              </w:rPr>
              <w:t>GB 5009.12</w:t>
            </w:r>
          </w:p>
        </w:tc>
      </w:tr>
      <w:tr w14:paraId="57E8A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693" w:type="dxa"/>
            <w:tcBorders>
              <w:bottom w:val="single" w:color="auto" w:sz="4" w:space="0"/>
            </w:tcBorders>
          </w:tcPr>
          <w:p w14:paraId="164BB350">
            <w:pPr>
              <w:rPr>
                <w:sz w:val="18"/>
                <w:szCs w:val="18"/>
              </w:rPr>
            </w:pPr>
            <w:r>
              <w:rPr>
                <w:rFonts w:hint="eastAsia" w:ascii="宋体" w:hAnsi="宋体" w:eastAsia="宋体" w:cs="宋体"/>
                <w:sz w:val="18"/>
                <w:szCs w:val="18"/>
              </w:rPr>
              <w:t>镉</w:t>
            </w:r>
            <w:r>
              <w:rPr>
                <w:sz w:val="18"/>
                <w:szCs w:val="18"/>
              </w:rPr>
              <w:t xml:space="preserve"> (</w:t>
            </w:r>
            <w:r>
              <w:rPr>
                <w:rFonts w:hint="eastAsia" w:ascii="宋体" w:hAnsi="宋体" w:eastAsia="宋体" w:cs="宋体"/>
                <w:sz w:val="18"/>
                <w:szCs w:val="18"/>
              </w:rPr>
              <w:t>以</w:t>
            </w:r>
            <w:r>
              <w:rPr>
                <w:sz w:val="18"/>
                <w:szCs w:val="18"/>
              </w:rPr>
              <w:t>Cd</w:t>
            </w:r>
            <w:r>
              <w:rPr>
                <w:rFonts w:hint="eastAsia" w:ascii="宋体" w:hAnsi="宋体" w:eastAsia="宋体" w:cs="宋体"/>
                <w:sz w:val="18"/>
                <w:szCs w:val="18"/>
              </w:rPr>
              <w:t>计</w:t>
            </w:r>
            <w:r>
              <w:rPr>
                <w:sz w:val="18"/>
                <w:szCs w:val="18"/>
              </w:rPr>
              <w:t>)</w:t>
            </w:r>
            <w:r>
              <w:rPr>
                <w:rFonts w:hint="eastAsia" w:ascii="宋体" w:hAnsi="宋体" w:eastAsia="宋体" w:cs="宋体"/>
                <w:sz w:val="18"/>
                <w:szCs w:val="18"/>
              </w:rPr>
              <w:t>，</w:t>
            </w:r>
            <w:r>
              <w:rPr>
                <w:sz w:val="18"/>
                <w:szCs w:val="18"/>
              </w:rPr>
              <w:t xml:space="preserve">mg/kg            </w:t>
            </w:r>
            <w:r>
              <w:rPr>
                <w:rFonts w:hint="eastAsia" w:eastAsia="宋体"/>
                <w:sz w:val="18"/>
                <w:szCs w:val="18"/>
              </w:rPr>
              <w:t xml:space="preserve"> </w:t>
            </w:r>
            <w:r>
              <w:rPr>
                <w:rFonts w:ascii="宋体" w:hAnsi="宋体"/>
                <w:sz w:val="18"/>
                <w:szCs w:val="18"/>
              </w:rPr>
              <w:t>≤</w:t>
            </w:r>
          </w:p>
        </w:tc>
        <w:tc>
          <w:tcPr>
            <w:tcW w:w="3437" w:type="dxa"/>
            <w:tcBorders>
              <w:bottom w:val="single" w:color="auto" w:sz="4" w:space="0"/>
            </w:tcBorders>
          </w:tcPr>
          <w:p w14:paraId="712AB703">
            <w:pPr>
              <w:jc w:val="center"/>
              <w:rPr>
                <w:sz w:val="18"/>
                <w:szCs w:val="18"/>
              </w:rPr>
            </w:pPr>
            <w:r>
              <w:rPr>
                <w:rFonts w:eastAsia="宋体"/>
                <w:sz w:val="18"/>
                <w:szCs w:val="18"/>
              </w:rPr>
              <w:t>0.</w:t>
            </w:r>
            <w:r>
              <w:rPr>
                <w:rFonts w:hint="eastAsia" w:eastAsia="宋体"/>
                <w:sz w:val="18"/>
                <w:szCs w:val="18"/>
              </w:rPr>
              <w:t>25</w:t>
            </w:r>
          </w:p>
        </w:tc>
        <w:tc>
          <w:tcPr>
            <w:tcW w:w="3190" w:type="dxa"/>
            <w:tcBorders>
              <w:bottom w:val="single" w:color="auto" w:sz="4" w:space="0"/>
            </w:tcBorders>
          </w:tcPr>
          <w:p w14:paraId="0EBBDBB7">
            <w:pPr>
              <w:jc w:val="center"/>
              <w:rPr>
                <w:sz w:val="18"/>
                <w:szCs w:val="18"/>
              </w:rPr>
            </w:pPr>
            <w:r>
              <w:rPr>
                <w:sz w:val="18"/>
                <w:szCs w:val="18"/>
              </w:rPr>
              <w:t>GB 5009.15</w:t>
            </w:r>
          </w:p>
        </w:tc>
      </w:tr>
    </w:tbl>
    <w:p w14:paraId="13114FC0">
      <w:pPr>
        <w:spacing w:before="66" w:line="226" w:lineRule="auto"/>
        <w:rPr>
          <w:rFonts w:hint="eastAsia" w:ascii="宋体" w:hAnsi="宋体" w:eastAsia="宋体" w:cs="宋体"/>
          <w:sz w:val="20"/>
          <w:szCs w:val="20"/>
        </w:rPr>
      </w:pPr>
    </w:p>
    <w:p w14:paraId="1A2D32AC">
      <w:pPr>
        <w:spacing w:before="65" w:line="360" w:lineRule="auto"/>
        <w:ind w:left="16" w:firstLine="408" w:firstLineChars="200"/>
        <w:outlineLvl w:val="0"/>
        <w:rPr>
          <w:rFonts w:hint="eastAsia" w:ascii="黑体" w:hAnsi="黑体" w:eastAsia="黑体" w:cs="黑体"/>
          <w:spacing w:val="2"/>
          <w:sz w:val="20"/>
          <w:szCs w:val="20"/>
        </w:rPr>
      </w:pPr>
      <w:r>
        <w:rPr>
          <w:rFonts w:hint="eastAsia" w:ascii="黑体" w:hAnsi="黑体" w:eastAsia="黑体" w:cs="黑体"/>
          <w:spacing w:val="2"/>
          <w:sz w:val="20"/>
          <w:szCs w:val="20"/>
        </w:rPr>
        <w:t>4.5 农药残留限量</w:t>
      </w:r>
    </w:p>
    <w:p w14:paraId="52FDB39F">
      <w:pPr>
        <w:pStyle w:val="16"/>
        <w:tabs>
          <w:tab w:val="center" w:pos="4201"/>
          <w:tab w:val="right" w:leader="dot" w:pos="9298"/>
        </w:tabs>
        <w:ind w:firstLine="400"/>
        <w:rPr>
          <w:rFonts w:ascii="Times New Roman"/>
        </w:rPr>
      </w:pPr>
      <w:r>
        <w:rPr>
          <w:rFonts w:hint="eastAsia" w:hAnsi="宋体" w:cs="宋体"/>
          <w:snapToGrid w:val="0"/>
          <w:color w:val="000000"/>
          <w:sz w:val="20"/>
        </w:rPr>
        <w:t>农药残留应符合GB 2763规定。</w:t>
      </w:r>
    </w:p>
    <w:p w14:paraId="69E0AB02">
      <w:pPr>
        <w:spacing w:before="66" w:line="360" w:lineRule="auto"/>
        <w:ind w:left="5" w:firstLine="428" w:firstLineChars="200"/>
        <w:outlineLvl w:val="0"/>
        <w:rPr>
          <w:rFonts w:hint="eastAsia" w:ascii="黑体" w:hAnsi="黑体" w:eastAsia="黑体" w:cs="黑体"/>
          <w:sz w:val="20"/>
          <w:szCs w:val="20"/>
        </w:rPr>
      </w:pPr>
      <w:bookmarkStart w:id="7" w:name="_bookmark4"/>
      <w:bookmarkEnd w:id="7"/>
      <w:r>
        <w:rPr>
          <w:rFonts w:hint="eastAsia" w:ascii="黑体" w:hAnsi="黑体" w:eastAsia="黑体" w:cs="黑体"/>
          <w:spacing w:val="7"/>
          <w:sz w:val="20"/>
          <w:szCs w:val="20"/>
        </w:rPr>
        <w:t xml:space="preserve">5 </w:t>
      </w:r>
      <w:r>
        <w:rPr>
          <w:rFonts w:ascii="黑体" w:hAnsi="黑体" w:eastAsia="黑体" w:cs="黑体"/>
          <w:spacing w:val="7"/>
          <w:sz w:val="20"/>
          <w:szCs w:val="20"/>
        </w:rPr>
        <w:t xml:space="preserve"> </w:t>
      </w:r>
      <w:r>
        <w:rPr>
          <w:rFonts w:hint="eastAsia" w:ascii="黑体" w:hAnsi="黑体" w:eastAsia="黑体" w:cs="黑体"/>
          <w:spacing w:val="7"/>
          <w:sz w:val="20"/>
          <w:szCs w:val="20"/>
        </w:rPr>
        <w:t>其他</w:t>
      </w:r>
      <w:bookmarkStart w:id="8" w:name="_bookmark5"/>
      <w:bookmarkEnd w:id="8"/>
    </w:p>
    <w:p w14:paraId="6B0D5A2B">
      <w:pPr>
        <w:spacing w:line="360" w:lineRule="auto"/>
        <w:ind w:firstLine="400" w:firstLineChars="200"/>
        <w:rPr>
          <w:rFonts w:hint="eastAsia" w:ascii="宋体" w:hAnsi="宋体" w:eastAsia="宋体" w:cs="宋体"/>
          <w:sz w:val="20"/>
          <w:szCs w:val="20"/>
        </w:rPr>
      </w:pPr>
      <w:bookmarkStart w:id="9" w:name="OLE_LINK13"/>
      <w:r>
        <w:rPr>
          <w:rFonts w:hint="eastAsia" w:ascii="宋体" w:hAnsi="宋体" w:eastAsia="宋体" w:cs="宋体"/>
          <w:sz w:val="20"/>
          <w:szCs w:val="20"/>
        </w:rPr>
        <w:t>5.1 罗汉参应熟制后食用。</w:t>
      </w:r>
      <w:r>
        <w:rPr>
          <w:rFonts w:hint="eastAsia" w:ascii="宋体" w:hAnsi="宋体" w:eastAsia="宋体" w:cs="宋体"/>
          <w:sz w:val="20"/>
          <w:szCs w:val="20"/>
          <w:lang w:val="en-US" w:eastAsia="zh-CN"/>
        </w:rPr>
        <w:t>即食</w:t>
      </w:r>
      <w:r>
        <w:rPr>
          <w:rFonts w:hint="eastAsia" w:ascii="宋体" w:hAnsi="宋体" w:eastAsia="宋体" w:cs="宋体"/>
          <w:sz w:val="20"/>
          <w:szCs w:val="20"/>
        </w:rPr>
        <w:t xml:space="preserve">食品中添加的罗汉参原料应已熟制。 </w:t>
      </w:r>
    </w:p>
    <w:p w14:paraId="7A4919C8">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5.2 预包装产品相关标签标识应符合GB7718、GB28050的规定，不得涉及疾病预防及治疗功能。</w:t>
      </w:r>
    </w:p>
    <w:bookmarkEnd w:id="9"/>
    <w:p w14:paraId="616EF8BA">
      <w:pPr>
        <w:spacing w:line="309" w:lineRule="auto"/>
        <w:jc w:val="both"/>
        <w:rPr>
          <w:rFonts w:hint="eastAsia" w:ascii="宋体" w:hAnsi="宋体" w:eastAsia="宋体" w:cs="宋体"/>
          <w:position w:val="10"/>
          <w:sz w:val="20"/>
          <w:szCs w:val="20"/>
        </w:rPr>
      </w:pPr>
      <w:r>
        <w:rPr>
          <w:snapToGrid/>
        </w:rPr>
        <mc:AlternateContent>
          <mc:Choice Requires="wps">
            <w:drawing>
              <wp:anchor distT="0" distB="0" distL="114300" distR="114300" simplePos="0" relativeHeight="251664384" behindDoc="0" locked="0" layoutInCell="1" allowOverlap="1">
                <wp:simplePos x="0" y="0"/>
                <wp:positionH relativeFrom="column">
                  <wp:posOffset>1265555</wp:posOffset>
                </wp:positionH>
                <wp:positionV relativeFrom="paragraph">
                  <wp:posOffset>161290</wp:posOffset>
                </wp:positionV>
                <wp:extent cx="3192145" cy="8255"/>
                <wp:effectExtent l="0" t="0" r="27305" b="29845"/>
                <wp:wrapNone/>
                <wp:docPr id="1" name="直接连接符 1"/>
                <wp:cNvGraphicFramePr/>
                <a:graphic xmlns:a="http://schemas.openxmlformats.org/drawingml/2006/main">
                  <a:graphicData uri="http://schemas.microsoft.com/office/word/2010/wordprocessingShape">
                    <wps:wsp>
                      <wps:cNvCnPr/>
                      <wps:spPr>
                        <a:xfrm flipV="1">
                          <a:off x="0" y="0"/>
                          <a:ext cx="3192145" cy="8255"/>
                        </a:xfrm>
                        <a:prstGeom prst="line">
                          <a:avLst/>
                        </a:prstGeom>
                        <a:ln w="0" cmpd="sng">
                          <a:solidFill>
                            <a:schemeClr val="tx1">
                              <a:lumMod val="75000"/>
                              <a:lumOff val="25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99.65pt;margin-top:12.7pt;height:0.65pt;width:251.35pt;z-index:251664384;mso-width-relative:page;mso-height-relative:page;" filled="f" stroked="t" coordsize="21600,21600" o:gfxdata="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OF0fjWAAAACQEAAA8AAAAAAAAAAQAgAAAAIgAAAGRycy9kb3ducmV2LnhtbFBL&#10;AQIUABQAAAAIAIdO4kCyVVpZ+AEAAN0DAAAOAAAAAAAAAAEAIAAAACUBAABkcnMvZTJvRG9jLnht&#10;bFBLBQYAAAAABgAGAFkBAACPBQAAAAA=&#10;">
                <v:fill on="f" focussize="0,0"/>
                <v:stroke weight="0pt" color="#404040 [2429]" joinstyle="round"/>
                <v:imagedata o:title=""/>
                <o:lock v:ext="edit" aspectratio="f"/>
              </v:line>
            </w:pict>
          </mc:Fallback>
        </mc:AlternateContent>
      </w:r>
    </w:p>
    <w:sectPr>
      <w:footerReference r:id="rId11" w:type="default"/>
      <w:pgSz w:w="11906" w:h="16839"/>
      <w:pgMar w:top="1406" w:right="1080" w:bottom="1313" w:left="1420" w:header="0" w:footer="113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FEA8">
    <w:pPr>
      <w:pStyle w:val="4"/>
      <w:tabs>
        <w:tab w:val="left" w:pos="360"/>
      </w:tabs>
      <w:ind w:left="8715"/>
      <w:rPr>
        <w:rStyle w:val="10"/>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9195AC">
                          <w:pPr>
                            <w:pStyle w:val="4"/>
                            <w:tabs>
                              <w:tab w:val="left" w:pos="360"/>
                            </w:tabs>
                            <w:jc w:val="both"/>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599195AC">
                    <w:pPr>
                      <w:pStyle w:val="4"/>
                      <w:tabs>
                        <w:tab w:val="left" w:pos="360"/>
                      </w:tabs>
                      <w:jc w:val="both"/>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D15B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4016">
    <w:pPr>
      <w:pStyle w:val="4"/>
      <w:tabs>
        <w:tab w:val="left" w:pos="360"/>
      </w:tabs>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249FF">
    <w:pPr>
      <w:spacing w:line="192" w:lineRule="auto"/>
      <w:ind w:right="225"/>
      <w:jc w:val="right"/>
      <w:rPr>
        <w:rFonts w:hint="eastAsia" w:ascii="宋体" w:hAnsi="宋体" w:eastAsia="宋体" w:cs="宋体"/>
        <w:sz w:val="17"/>
        <w:szCs w:val="17"/>
      </w:rPr>
    </w:pPr>
    <w:r>
      <w:rPr>
        <w:rFonts w:ascii="宋体" w:hAnsi="宋体" w:eastAsia="宋体" w:cs="宋体"/>
        <w:spacing w:val="-3"/>
        <w:sz w:val="17"/>
        <w:szCs w:val="17"/>
      </w:rPr>
      <w:t>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B31AE">
    <w:pPr>
      <w:spacing w:line="194" w:lineRule="auto"/>
      <w:ind w:right="266"/>
      <w:jc w:val="right"/>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C3FB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D1C3FB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A6DC">
    <w:pPr>
      <w:pStyle w:val="5"/>
      <w:tabs>
        <w:tab w:val="left" w:pos="360"/>
        <w:tab w:val="left" w:pos="1858"/>
        <w:tab w:val="center" w:pos="5424"/>
      </w:tabs>
      <w:ind w:firstLine="1440" w:firstLineChars="800"/>
      <w:jc w:val="left"/>
    </w:pPr>
    <w:r>
      <w:rPr>
        <w:rFonts w:hint="eastAsia"/>
      </w:rPr>
      <w:tab/>
    </w:r>
    <w:r>
      <w:rPr>
        <w:rFonts w:hint="eastAsia"/>
      </w:rPr>
      <w:tab/>
    </w:r>
    <w:r>
      <w:rPr>
        <w:rFonts w:hint="eastAsia"/>
      </w:rPr>
      <w:tab/>
    </w:r>
    <w:r>
      <w:rPr>
        <w:rFonts w:hint="eastAsia"/>
      </w:rPr>
      <w:t xml:space="preserve">                                       </w:t>
    </w:r>
    <w:r>
      <w:rPr>
        <w:rFonts w:hint="eastAsia"/>
        <w:b/>
        <w:bCs/>
      </w:rPr>
      <w:t>DBS</w:t>
    </w:r>
    <w:r>
      <w:rPr>
        <w:rFonts w:hint="eastAsia"/>
      </w:rPr>
      <w:t xml:space="preserve"> </w:t>
    </w:r>
    <w:r>
      <w:rPr>
        <w:rFonts w:hint="eastAsia" w:ascii="黑体" w:hAnsi="黑体" w:eastAsia="黑体" w:cs="黑体"/>
      </w:rPr>
      <w:t>37/XXX -XXXX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E161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3255C">
    <w:pPr>
      <w:pStyle w:val="5"/>
      <w:tabs>
        <w:tab w:val="left" w:pos="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E469F">
    <w:pPr>
      <w:pStyle w:val="5"/>
    </w:pPr>
  </w:p>
  <w:p w14:paraId="61182AE2">
    <w:pPr>
      <w:pStyle w:val="5"/>
    </w:pPr>
  </w:p>
  <w:p w14:paraId="77321A3B">
    <w:pPr>
      <w:pStyle w:val="5"/>
    </w:pPr>
  </w:p>
  <w:p w14:paraId="58254C7B">
    <w:pPr>
      <w:pStyle w:val="5"/>
    </w:pPr>
  </w:p>
  <w:p w14:paraId="29F3FF0D">
    <w:pPr>
      <w:pStyle w:val="5"/>
    </w:pPr>
  </w:p>
  <w:p w14:paraId="108C4C93">
    <w:pPr>
      <w:pStyle w:val="5"/>
      <w:jc w:val="right"/>
      <w:rPr>
        <w:rFonts w:eastAsiaTheme="minorEastAsia"/>
      </w:rPr>
    </w:pPr>
    <w:r>
      <w:rPr>
        <w:rFonts w:hint="eastAsia"/>
      </w:rPr>
      <w:t>DB</w:t>
    </w:r>
    <w:r>
      <w:rPr>
        <w:rFonts w:hint="eastAsia" w:eastAsia="宋体"/>
      </w:rPr>
      <w:t>S</w:t>
    </w:r>
    <w:r>
      <w:rPr>
        <w:rFonts w:hint="eastAsia"/>
      </w:rPr>
      <w:t xml:space="preserve"> 37/ </w:t>
    </w:r>
    <w:r>
      <w:rPr>
        <w:rFonts w:hint="eastAsia" w:eastAsiaTheme="minorEastAsia"/>
      </w:rPr>
      <w:t>006-2026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2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15"/>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710" w:firstLine="0"/>
      </w:pPr>
      <w:rPr>
        <w:rFonts w:hint="eastAsia" w:ascii="黑体" w:hAnsi="Times New Roman" w:eastAsia="黑体"/>
        <w:b w:val="0"/>
        <w:i w:val="0"/>
        <w:sz w:val="21"/>
      </w:rPr>
    </w:lvl>
    <w:lvl w:ilvl="2" w:tentative="0">
      <w:start w:val="1"/>
      <w:numFmt w:val="decimal"/>
      <w:suff w:val="nothing"/>
      <w:lvlText w:val="%1%2.%3　"/>
      <w:lvlJc w:val="left"/>
      <w:pPr>
        <w:ind w:left="3403"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VjOGRmYmM1OTc2YWI4Y2NmZWFjMDgyZWY5YTZmYTAifQ=="/>
  </w:docVars>
  <w:rsids>
    <w:rsidRoot w:val="00411EF9"/>
    <w:rsid w:val="0000084F"/>
    <w:rsid w:val="000250EB"/>
    <w:rsid w:val="00025D86"/>
    <w:rsid w:val="00036853"/>
    <w:rsid w:val="00056972"/>
    <w:rsid w:val="00066483"/>
    <w:rsid w:val="0009014D"/>
    <w:rsid w:val="000C397C"/>
    <w:rsid w:val="000E6AB6"/>
    <w:rsid w:val="000F6809"/>
    <w:rsid w:val="0010205D"/>
    <w:rsid w:val="00113DA6"/>
    <w:rsid w:val="00173135"/>
    <w:rsid w:val="001740D6"/>
    <w:rsid w:val="00175251"/>
    <w:rsid w:val="001875F6"/>
    <w:rsid w:val="001D4F27"/>
    <w:rsid w:val="0021307C"/>
    <w:rsid w:val="0021609F"/>
    <w:rsid w:val="002179F9"/>
    <w:rsid w:val="00221309"/>
    <w:rsid w:val="0025368A"/>
    <w:rsid w:val="0026027D"/>
    <w:rsid w:val="0026328E"/>
    <w:rsid w:val="00275D0D"/>
    <w:rsid w:val="00281803"/>
    <w:rsid w:val="00285096"/>
    <w:rsid w:val="002A0183"/>
    <w:rsid w:val="002B20E3"/>
    <w:rsid w:val="002E7A17"/>
    <w:rsid w:val="00314FBB"/>
    <w:rsid w:val="00334D61"/>
    <w:rsid w:val="003363C7"/>
    <w:rsid w:val="00352A5E"/>
    <w:rsid w:val="003704FA"/>
    <w:rsid w:val="00377A3D"/>
    <w:rsid w:val="003A7446"/>
    <w:rsid w:val="003B6734"/>
    <w:rsid w:val="003E16E4"/>
    <w:rsid w:val="00411EF9"/>
    <w:rsid w:val="00421F2C"/>
    <w:rsid w:val="00423198"/>
    <w:rsid w:val="00461666"/>
    <w:rsid w:val="00465948"/>
    <w:rsid w:val="004724EB"/>
    <w:rsid w:val="00481AE5"/>
    <w:rsid w:val="004A3770"/>
    <w:rsid w:val="004A66BD"/>
    <w:rsid w:val="004A6709"/>
    <w:rsid w:val="0053244A"/>
    <w:rsid w:val="005366FD"/>
    <w:rsid w:val="00564AA4"/>
    <w:rsid w:val="00583006"/>
    <w:rsid w:val="005A1434"/>
    <w:rsid w:val="005B1CB5"/>
    <w:rsid w:val="005C077C"/>
    <w:rsid w:val="005C0F9A"/>
    <w:rsid w:val="005C3E4E"/>
    <w:rsid w:val="005F35AF"/>
    <w:rsid w:val="006007AC"/>
    <w:rsid w:val="0060440E"/>
    <w:rsid w:val="00625BC7"/>
    <w:rsid w:val="006319DC"/>
    <w:rsid w:val="0063585B"/>
    <w:rsid w:val="00651B5E"/>
    <w:rsid w:val="00652EB5"/>
    <w:rsid w:val="00673502"/>
    <w:rsid w:val="00682D29"/>
    <w:rsid w:val="006E375F"/>
    <w:rsid w:val="006E5DC9"/>
    <w:rsid w:val="006F6DF4"/>
    <w:rsid w:val="00713C0B"/>
    <w:rsid w:val="00716A6B"/>
    <w:rsid w:val="00736BD6"/>
    <w:rsid w:val="00773DBA"/>
    <w:rsid w:val="00795DC8"/>
    <w:rsid w:val="007D4D20"/>
    <w:rsid w:val="007E07CB"/>
    <w:rsid w:val="008334AD"/>
    <w:rsid w:val="008336A1"/>
    <w:rsid w:val="00861E7C"/>
    <w:rsid w:val="0088711E"/>
    <w:rsid w:val="008A4C1C"/>
    <w:rsid w:val="008B61C6"/>
    <w:rsid w:val="008F4C38"/>
    <w:rsid w:val="00915D21"/>
    <w:rsid w:val="00925CB5"/>
    <w:rsid w:val="00933852"/>
    <w:rsid w:val="009422F8"/>
    <w:rsid w:val="009462B7"/>
    <w:rsid w:val="009528F9"/>
    <w:rsid w:val="00952A8C"/>
    <w:rsid w:val="00957CCC"/>
    <w:rsid w:val="00972F55"/>
    <w:rsid w:val="009F4839"/>
    <w:rsid w:val="009F521A"/>
    <w:rsid w:val="00A11AF1"/>
    <w:rsid w:val="00A16DA1"/>
    <w:rsid w:val="00A378B9"/>
    <w:rsid w:val="00A41E08"/>
    <w:rsid w:val="00A55D71"/>
    <w:rsid w:val="00A569C6"/>
    <w:rsid w:val="00A634D9"/>
    <w:rsid w:val="00A972D6"/>
    <w:rsid w:val="00AD2D3D"/>
    <w:rsid w:val="00AF317E"/>
    <w:rsid w:val="00B05B8A"/>
    <w:rsid w:val="00B07531"/>
    <w:rsid w:val="00B25DDD"/>
    <w:rsid w:val="00B43262"/>
    <w:rsid w:val="00B93E21"/>
    <w:rsid w:val="00B968C3"/>
    <w:rsid w:val="00BA234B"/>
    <w:rsid w:val="00BF1A33"/>
    <w:rsid w:val="00BF1BC1"/>
    <w:rsid w:val="00C004B5"/>
    <w:rsid w:val="00C216DA"/>
    <w:rsid w:val="00C2662F"/>
    <w:rsid w:val="00C63C87"/>
    <w:rsid w:val="00C716AF"/>
    <w:rsid w:val="00C9655F"/>
    <w:rsid w:val="00CA39B3"/>
    <w:rsid w:val="00CD0C33"/>
    <w:rsid w:val="00D13CEB"/>
    <w:rsid w:val="00D206BA"/>
    <w:rsid w:val="00D53EB4"/>
    <w:rsid w:val="00D57327"/>
    <w:rsid w:val="00D72E55"/>
    <w:rsid w:val="00DC00D9"/>
    <w:rsid w:val="00DC292F"/>
    <w:rsid w:val="00DE61A3"/>
    <w:rsid w:val="00DE72DB"/>
    <w:rsid w:val="00E24995"/>
    <w:rsid w:val="00E378BA"/>
    <w:rsid w:val="00E505DB"/>
    <w:rsid w:val="00E67648"/>
    <w:rsid w:val="00EB5340"/>
    <w:rsid w:val="00EC6D45"/>
    <w:rsid w:val="00ED54E8"/>
    <w:rsid w:val="00EF13F3"/>
    <w:rsid w:val="00F03C7D"/>
    <w:rsid w:val="00F13426"/>
    <w:rsid w:val="00F210C3"/>
    <w:rsid w:val="00F2134E"/>
    <w:rsid w:val="00F43176"/>
    <w:rsid w:val="00F46CE0"/>
    <w:rsid w:val="00F739D4"/>
    <w:rsid w:val="00F9480F"/>
    <w:rsid w:val="00FE4DB2"/>
    <w:rsid w:val="00FE5E35"/>
    <w:rsid w:val="00FE6385"/>
    <w:rsid w:val="00FF4F87"/>
    <w:rsid w:val="010A29DC"/>
    <w:rsid w:val="02145195"/>
    <w:rsid w:val="0399559F"/>
    <w:rsid w:val="07E25DE9"/>
    <w:rsid w:val="07FE08AD"/>
    <w:rsid w:val="09966627"/>
    <w:rsid w:val="0B30303F"/>
    <w:rsid w:val="0B8E48F8"/>
    <w:rsid w:val="0D4918B9"/>
    <w:rsid w:val="0E0C7F2C"/>
    <w:rsid w:val="168B7804"/>
    <w:rsid w:val="1A534654"/>
    <w:rsid w:val="1B561F58"/>
    <w:rsid w:val="1CB5136C"/>
    <w:rsid w:val="20337402"/>
    <w:rsid w:val="206C0909"/>
    <w:rsid w:val="216D6944"/>
    <w:rsid w:val="21721D47"/>
    <w:rsid w:val="22E1185E"/>
    <w:rsid w:val="23C71C0F"/>
    <w:rsid w:val="262F0D3C"/>
    <w:rsid w:val="28543E4C"/>
    <w:rsid w:val="2AE9690F"/>
    <w:rsid w:val="2FD14F10"/>
    <w:rsid w:val="323D5255"/>
    <w:rsid w:val="37587419"/>
    <w:rsid w:val="3C6542D3"/>
    <w:rsid w:val="41F83BB0"/>
    <w:rsid w:val="439F1050"/>
    <w:rsid w:val="43F45FB4"/>
    <w:rsid w:val="462E594E"/>
    <w:rsid w:val="465C6B5C"/>
    <w:rsid w:val="474C59F4"/>
    <w:rsid w:val="4795551B"/>
    <w:rsid w:val="47F646F8"/>
    <w:rsid w:val="48343AEC"/>
    <w:rsid w:val="492E749F"/>
    <w:rsid w:val="4997155B"/>
    <w:rsid w:val="49E656E9"/>
    <w:rsid w:val="4B932E33"/>
    <w:rsid w:val="4BA82912"/>
    <w:rsid w:val="4C194E4E"/>
    <w:rsid w:val="4D0007BD"/>
    <w:rsid w:val="51F53C68"/>
    <w:rsid w:val="52203C3B"/>
    <w:rsid w:val="52B4142D"/>
    <w:rsid w:val="580309FC"/>
    <w:rsid w:val="584638DB"/>
    <w:rsid w:val="5D3F45A2"/>
    <w:rsid w:val="62514EEA"/>
    <w:rsid w:val="625C421D"/>
    <w:rsid w:val="62B965EC"/>
    <w:rsid w:val="62C31218"/>
    <w:rsid w:val="6439152D"/>
    <w:rsid w:val="65956E9C"/>
    <w:rsid w:val="65AE4402"/>
    <w:rsid w:val="679010BF"/>
    <w:rsid w:val="695439AB"/>
    <w:rsid w:val="6D3F3B91"/>
    <w:rsid w:val="6ED04123"/>
    <w:rsid w:val="6F107522"/>
    <w:rsid w:val="6F346F87"/>
    <w:rsid w:val="70A66401"/>
    <w:rsid w:val="70F25973"/>
    <w:rsid w:val="71FC02A3"/>
    <w:rsid w:val="723C7EF1"/>
    <w:rsid w:val="73C71069"/>
    <w:rsid w:val="78B07223"/>
    <w:rsid w:val="7B024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0"/>
    <w:pPr>
      <w:keepNext/>
      <w:keepLines/>
      <w:tabs>
        <w:tab w:val="left" w:pos="360"/>
      </w:tabs>
      <w:spacing w:before="260" w:after="260" w:line="416" w:lineRule="auto"/>
      <w:outlineLvl w:val="1"/>
    </w:pPr>
    <w:rPr>
      <w:rFonts w:eastAsia="黑体"/>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1"/>
    <w:rPr>
      <w:rFonts w:hint="eastAsia"/>
      <w:szCs w:val="24"/>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cs="Times New Roman"/>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rPr>
      <w:rFonts w:ascii="Times New Roman" w:hAnsi="Times New Roman" w:eastAsia="宋体"/>
      <w:sz w:val="18"/>
    </w:rPr>
  </w:style>
  <w:style w:type="character" w:styleId="11">
    <w:name w:val="Emphasis"/>
    <w:basedOn w:val="9"/>
    <w:qFormat/>
    <w:uiPriority w:val="0"/>
    <w:rPr>
      <w:i/>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封面正文"/>
    <w:qFormat/>
    <w:uiPriority w:val="0"/>
    <w:pPr>
      <w:jc w:val="both"/>
    </w:pPr>
    <w:rPr>
      <w:rFonts w:ascii="Times New Roman" w:hAnsi="Times New Roman" w:eastAsia="宋体" w:cs="Times New Roman"/>
      <w:lang w:val="en-US" w:eastAsia="zh-CN" w:bidi="ar-SA"/>
    </w:rPr>
  </w:style>
  <w:style w:type="paragraph" w:customStyle="1" w:styleId="14">
    <w:name w:val="目次、标准名称标题"/>
    <w:basedOn w:val="15"/>
    <w:next w:val="16"/>
    <w:qFormat/>
    <w:uiPriority w:val="0"/>
    <w:pPr>
      <w:numPr>
        <w:numId w:val="0"/>
      </w:numPr>
      <w:tabs>
        <w:tab w:val="left" w:pos="360"/>
        <w:tab w:val="left" w:pos="9215"/>
      </w:tabs>
      <w:spacing w:line="460" w:lineRule="exact"/>
    </w:pPr>
  </w:style>
  <w:style w:type="paragraph" w:customStyle="1" w:styleId="15">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9">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2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3">
    <w:name w:val="标准文件_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4">
    <w:name w:val="二级无"/>
    <w:basedOn w:val="25"/>
    <w:qFormat/>
    <w:uiPriority w:val="0"/>
    <w:pPr>
      <w:spacing w:before="0" w:beforeLines="0" w:after="0" w:afterLines="0"/>
    </w:pPr>
    <w:rPr>
      <w:rFonts w:ascii="宋体" w:eastAsia="宋体"/>
    </w:rPr>
  </w:style>
  <w:style w:type="paragraph" w:customStyle="1" w:styleId="25">
    <w:name w:val="二级条标题"/>
    <w:basedOn w:val="26"/>
    <w:next w:val="16"/>
    <w:qFormat/>
    <w:uiPriority w:val="0"/>
    <w:pPr>
      <w:numPr>
        <w:ilvl w:val="2"/>
      </w:numPr>
      <w:spacing w:before="50" w:after="50"/>
      <w:outlineLvl w:val="3"/>
    </w:pPr>
  </w:style>
  <w:style w:type="paragraph" w:customStyle="1" w:styleId="26">
    <w:name w:val="一级条标题"/>
    <w:next w:val="16"/>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7">
    <w:name w:val="正文表标题"/>
    <w:next w:val="16"/>
    <w:qFormat/>
    <w:uiPriority w:val="0"/>
    <w:pPr>
      <w:numPr>
        <w:ilvl w:val="0"/>
        <w:numId w:val="3"/>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styleId="28">
    <w:name w:val="List Paragraph"/>
    <w:basedOn w:val="1"/>
    <w:qFormat/>
    <w:uiPriority w:val="99"/>
    <w:pPr>
      <w:ind w:firstLine="420" w:firstLineChars="200"/>
    </w:pPr>
  </w:style>
  <w:style w:type="paragraph" w:customStyle="1" w:styleId="29">
    <w:name w:val="修订1"/>
    <w:hidden/>
    <w:unhideWhenUsed/>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4981D2-6A69-43E9-9E9C-BF2E19251061}">
  <ds:schemaRefs/>
</ds:datastoreItem>
</file>

<file path=docProps/app.xml><?xml version="1.0" encoding="utf-8"?>
<Properties xmlns="http://schemas.openxmlformats.org/officeDocument/2006/extended-properties" xmlns:vt="http://schemas.openxmlformats.org/officeDocument/2006/docPropsVTypes">
  <Template>Normal</Template>
  <Pages>4</Pages>
  <Words>867</Words>
  <Characters>1023</Characters>
  <Lines>12</Lines>
  <Paragraphs>3</Paragraphs>
  <TotalTime>1</TotalTime>
  <ScaleCrop>false</ScaleCrop>
  <LinksUpToDate>false</LinksUpToDate>
  <CharactersWithSpaces>1151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2023-03-08T14:24:00Z</dcterms:created>
  <dc:creator>Lenovo</dc:creator>
  <cp:lastModifiedBy>都市桃源主人</cp:lastModifiedBy>
  <cp:lastPrinted>2023-05-05T08:32:00Z</cp:lastPrinted>
  <dcterms:modified xsi:type="dcterms:W3CDTF">2026-05-06T06:07:58Z</dcterms:modified>
  <dc:title>地方标准</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2023-03-10T10:44:38Z</vt:filetime>
  </property>
  <property fmtid="{D5CDD505-2E9C-101B-9397-08002B2CF9AE}" pid="4" name="KSOProductBuildVer">
    <vt:lpwstr>2052-12.1.0.25225</vt:lpwstr>
  </property>
  <property fmtid="{D5CDD505-2E9C-101B-9397-08002B2CF9AE}" pid="5" name="ICV">
    <vt:lpwstr>CE4B4878F7FC4176BBD3D459B50D8786_13</vt:lpwstr>
  </property>
  <property fmtid="{D5CDD505-2E9C-101B-9397-08002B2CF9AE}" pid="6" name="KSOTemplateDocerSaveRecord">
    <vt:lpwstr>eyJoZGlkIjoiM2U2Zjg1OTc5NWMzNWEzMWZiNTkxZjBhNTQzNDFkMWMiLCJ1c2VySWQiOiI0Njc5MjU1OTcifQ==</vt:lpwstr>
  </property>
</Properties>
</file>