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rPr>
          <w:rFonts w:ascii="黑体" w:eastAsia="黑体"/>
          <w:sz w:val="96"/>
          <w:szCs w:val="96"/>
        </w:rPr>
      </w:pPr>
      <w:r>
        <w:rPr>
          <w:rFonts w:ascii="黑体" w:eastAsia="黑体"/>
          <w:sz w:val="96"/>
          <w:szCs w:val="96"/>
        </w:rPr>
        <w:t>Q/MTNY</w:t>
      </w:r>
      <w:r>
        <w:rPr>
          <w:rFonts w:hint="eastAsia" w:ascii="黑体" w:eastAsia="黑体"/>
          <w:sz w:val="96"/>
          <w:szCs w:val="96"/>
        </w:rPr>
        <w:t>J</w:t>
      </w:r>
    </w:p>
    <w:p>
      <w:pPr>
        <w:pStyle w:val="27"/>
      </w:pPr>
      <w:r>
        <w:rPr>
          <w:rFonts w:hint="eastAsia"/>
        </w:rPr>
        <w:t>贵州省食品安全企业标准</w:t>
      </w:r>
    </w:p>
    <w:p>
      <w:pPr>
        <w:bidi/>
        <w:spacing w:line="283" w:lineRule="exact"/>
        <w:jc w:val="left"/>
        <w:rPr>
          <w:rFonts w:ascii="黑体" w:eastAsia="黑体"/>
          <w:sz w:val="28"/>
          <w:szCs w:val="28"/>
        </w:rPr>
      </w:pPr>
    </w:p>
    <w:p>
      <w:pPr>
        <w:bidi/>
        <w:spacing w:line="283" w:lineRule="exact"/>
        <w:jc w:val="left"/>
        <w:rPr>
          <w:rFonts w:ascii="黑体" w:eastAsia="黑体"/>
          <w:sz w:val="28"/>
          <w:szCs w:val="28"/>
        </w:rPr>
      </w:pPr>
    </w:p>
    <w:p>
      <w:pPr>
        <w:bidi/>
        <w:spacing w:line="283" w:lineRule="exact"/>
        <w:jc w:val="left"/>
        <w:rPr>
          <w:rFonts w:ascii="黑体" w:eastAsia="黑体"/>
          <w:sz w:val="28"/>
          <w:szCs w:val="28"/>
        </w:rPr>
      </w:pPr>
      <w:r>
        <w:rPr>
          <w:rFonts w:ascii="黑体" w:eastAsia="黑体"/>
          <w:sz w:val="28"/>
          <w:szCs w:val="28"/>
        </w:rPr>
        <w:t>Q/MTNYJ</w:t>
      </w:r>
      <w:r>
        <w:rPr>
          <w:rFonts w:hint="eastAsia" w:ascii="黑体" w:eastAsia="黑体"/>
          <w:sz w:val="28"/>
          <w:szCs w:val="28"/>
        </w:rPr>
        <w:t xml:space="preserve"> </w:t>
      </w:r>
      <w:r>
        <w:rPr>
          <w:rFonts w:ascii="黑体" w:eastAsia="黑体"/>
          <w:sz w:val="28"/>
          <w:szCs w:val="28"/>
        </w:rPr>
        <w:t>0201</w:t>
      </w:r>
      <w:r>
        <w:rPr>
          <w:rFonts w:hint="eastAsia" w:ascii="黑体" w:eastAsia="黑体"/>
          <w:sz w:val="28"/>
          <w:szCs w:val="28"/>
        </w:rPr>
        <w:t>S</w:t>
      </w:r>
      <w:r>
        <w:rPr>
          <w:rFonts w:ascii="黑体" w:eastAsia="黑体"/>
          <w:sz w:val="28"/>
          <w:szCs w:val="28"/>
        </w:rPr>
        <w:t>-20</w:t>
      </w:r>
      <w:r>
        <w:rPr>
          <w:rFonts w:hint="eastAsia" w:ascii="黑体" w:eastAsia="黑体"/>
          <w:sz w:val="28"/>
          <w:szCs w:val="28"/>
        </w:rPr>
        <w:t>22</w:t>
      </w:r>
    </w:p>
    <w:p>
      <w:pPr>
        <w:rPr>
          <w:sz w:val="28"/>
        </w:rPr>
      </w:pPr>
      <w:r>
        <w:rPr>
          <w:rFonts w:ascii="黑体" w:eastAsia="黑体"/>
          <w:sz w:val="28"/>
          <w:szCs w:val="28"/>
        </w:rPr>
        <w:pict>
          <v:line id="直线 2" o:spid="_x0000_s1031" o:spt="20" style="position:absolute;left:0pt;margin-left:0pt;margin-top:2.1pt;height:0pt;width:464.6pt;z-index:251661312;mso-width-relative:page;mso-height-relative:page;" coordsize="21600,21600">
            <v:path arrowok="t"/>
            <v:fill focussize="0,0"/>
            <v:stroke weight="1pt"/>
            <v:imagedata o:title=""/>
            <o:lock v:ext="edit"/>
          </v:line>
        </w:pict>
      </w:r>
    </w:p>
    <w:p>
      <w:pPr>
        <w:rPr>
          <w:sz w:val="28"/>
        </w:rPr>
      </w:pPr>
    </w:p>
    <w:p>
      <w:pPr>
        <w:rPr>
          <w:sz w:val="28"/>
        </w:rPr>
      </w:pPr>
    </w:p>
    <w:p>
      <w:pPr>
        <w:rPr>
          <w:b/>
          <w:bCs/>
          <w:sz w:val="28"/>
        </w:rPr>
      </w:pPr>
    </w:p>
    <w:p>
      <w:pPr>
        <w:jc w:val="center"/>
        <w:rPr>
          <w:rFonts w:ascii="黑体" w:hAnsi="宋体" w:eastAsia="黑体"/>
          <w:bCs/>
          <w:sz w:val="52"/>
        </w:rPr>
      </w:pPr>
      <w:r>
        <w:rPr>
          <w:rFonts w:hint="eastAsia" w:ascii="黑体" w:hAnsi="宋体" w:eastAsia="黑体"/>
          <w:bCs/>
          <w:sz w:val="52"/>
        </w:rPr>
        <w:t>蓝莓酒（配制型）</w:t>
      </w:r>
    </w:p>
    <w:p>
      <w:pPr>
        <w:rPr>
          <w:sz w:val="44"/>
        </w:rPr>
      </w:pPr>
    </w:p>
    <w:p>
      <w:pPr>
        <w:rPr>
          <w:sz w:val="44"/>
        </w:rPr>
      </w:pPr>
    </w:p>
    <w:p>
      <w:pPr>
        <w:rPr>
          <w:sz w:val="44"/>
        </w:rPr>
      </w:pPr>
    </w:p>
    <w:p>
      <w:pPr>
        <w:rPr>
          <w:sz w:val="28"/>
        </w:rPr>
      </w:pPr>
    </w:p>
    <w:p>
      <w:pPr>
        <w:rPr>
          <w:sz w:val="28"/>
        </w:rPr>
      </w:pPr>
    </w:p>
    <w:p>
      <w:pPr>
        <w:rPr>
          <w:b/>
          <w:bCs/>
          <w:sz w:val="28"/>
        </w:rPr>
      </w:pPr>
    </w:p>
    <w:p>
      <w:pPr>
        <w:rPr>
          <w:b/>
          <w:bCs/>
          <w:sz w:val="28"/>
        </w:rPr>
      </w:pPr>
    </w:p>
    <w:p>
      <w:pPr>
        <w:rPr>
          <w:b/>
          <w:bCs/>
          <w:szCs w:val="21"/>
        </w:rPr>
      </w:pPr>
    </w:p>
    <w:p>
      <w:pPr>
        <w:rPr>
          <w:b/>
          <w:bCs/>
          <w:szCs w:val="21"/>
        </w:rPr>
      </w:pPr>
    </w:p>
    <w:p>
      <w:pPr>
        <w:rPr>
          <w:b/>
          <w:bCs/>
          <w:szCs w:val="21"/>
        </w:rPr>
      </w:pPr>
    </w:p>
    <w:p>
      <w:pPr>
        <w:rPr>
          <w:b/>
          <w:bCs/>
          <w:szCs w:val="21"/>
        </w:rPr>
      </w:pPr>
      <w:bookmarkStart w:id="0" w:name="_GoBack"/>
      <w:bookmarkEnd w:id="0"/>
    </w:p>
    <w:p>
      <w:pPr>
        <w:rPr>
          <w:b/>
          <w:bCs/>
          <w:szCs w:val="21"/>
        </w:rPr>
      </w:pPr>
    </w:p>
    <w:p>
      <w:pPr>
        <w:jc w:val="left"/>
        <w:rPr>
          <w:rFonts w:ascii="黑体" w:eastAsia="黑体"/>
          <w:bCs/>
          <w:sz w:val="28"/>
          <w:szCs w:val="28"/>
        </w:rPr>
      </w:pPr>
      <w:r>
        <w:rPr>
          <w:rFonts w:eastAsia="黑体"/>
          <w:bCs/>
          <w:spacing w:val="-20"/>
          <w:w w:val="130"/>
          <w:sz w:val="36"/>
          <w:szCs w:val="36"/>
        </w:rPr>
        <w:pict>
          <v:line id="_x0000_s1030" o:spid="_x0000_s1030" o:spt="20" style="position:absolute;left:0pt;margin-left:0pt;margin-top:27.5pt;height:0pt;width:451.1pt;z-index:251660288;mso-width-relative:page;mso-height-relative:page;" coordsize="21600,21600" o:allowincell="f">
            <v:path arrowok="t"/>
            <v:fill focussize="0,0"/>
            <v:stroke weight="1pt"/>
            <v:imagedata o:title=""/>
            <o:lock v:ext="edit"/>
          </v:line>
        </w:pict>
      </w:r>
      <w:r>
        <w:rPr>
          <w:rFonts w:hint="eastAsia" w:ascii="黑体" w:eastAsia="黑体"/>
          <w:bCs/>
          <w:sz w:val="28"/>
          <w:szCs w:val="28"/>
        </w:rPr>
        <w:t>2022-09-25发布                                  2022-10-25实施</w:t>
      </w:r>
    </w:p>
    <w:p>
      <w:pPr>
        <w:jc w:val="center"/>
        <w:rPr>
          <w:rFonts w:eastAsia="黑体"/>
          <w:b/>
          <w:bCs/>
          <w:w w:val="120"/>
          <w:sz w:val="32"/>
          <w:szCs w:val="32"/>
        </w:rPr>
      </w:pPr>
      <w:r>
        <w:rPr>
          <w:rFonts w:hint="eastAsia" w:ascii="黑体" w:hAnsi="黑体" w:eastAsia="黑体"/>
          <w:kern w:val="0"/>
          <w:sz w:val="36"/>
          <w:szCs w:val="36"/>
        </w:rPr>
        <w:t>贵州茅台（集团）生态农业产业发展有限公司</w:t>
      </w:r>
      <w:r>
        <w:rPr>
          <w:rFonts w:hint="eastAsia" w:eastAsia="黑体"/>
          <w:bCs/>
          <w:spacing w:val="-20"/>
          <w:w w:val="130"/>
          <w:sz w:val="24"/>
        </w:rPr>
        <w:t xml:space="preserve"> </w:t>
      </w:r>
      <w:r>
        <w:rPr>
          <w:rStyle w:val="28"/>
          <w:rFonts w:hint="eastAsia" w:hAnsi="黑体"/>
          <w:kern w:val="0"/>
          <w:szCs w:val="20"/>
        </w:rPr>
        <w:t>发布</w:t>
      </w:r>
    </w:p>
    <w:p>
      <w:pPr>
        <w:jc w:val="center"/>
        <w:rPr>
          <w:rFonts w:ascii="宋体"/>
          <w:sz w:val="10"/>
          <w:szCs w:val="10"/>
        </w:rPr>
      </w:pPr>
    </w:p>
    <w:p>
      <w:pPr>
        <w:spacing w:beforeLines="150" w:afterLines="150"/>
        <w:jc w:val="center"/>
        <w:rPr>
          <w:rFonts w:ascii="黑体" w:hAnsi="黑体" w:eastAsia="黑体"/>
          <w:sz w:val="36"/>
          <w:szCs w:val="36"/>
        </w:rPr>
      </w:pPr>
      <w:r>
        <w:rPr>
          <w:rFonts w:hint="eastAsia" w:ascii="黑体" w:hAnsi="黑体" w:eastAsia="黑体"/>
          <w:sz w:val="36"/>
          <w:szCs w:val="36"/>
        </w:rPr>
        <w:t>前  言</w:t>
      </w:r>
    </w:p>
    <w:p>
      <w:pPr>
        <w:ind w:firstLine="420" w:firstLineChars="200"/>
        <w:rPr>
          <w:rFonts w:ascii="宋体" w:hAnsi="宋体"/>
          <w:szCs w:val="21"/>
        </w:rPr>
      </w:pPr>
      <w:r>
        <w:rPr>
          <w:rFonts w:hint="eastAsia" w:ascii="宋体" w:hAnsi="宋体"/>
          <w:szCs w:val="21"/>
        </w:rPr>
        <w:t>本文件依据GB/T 1.1—2020《标准化工作导则 第1部分：标准化文件的结构和起草规则》的规定起草。</w:t>
      </w:r>
    </w:p>
    <w:p>
      <w:pPr>
        <w:ind w:firstLine="420" w:firstLineChars="200"/>
        <w:rPr>
          <w:rFonts w:ascii="宋体"/>
          <w:szCs w:val="21"/>
        </w:rPr>
      </w:pPr>
      <w:r>
        <w:rPr>
          <w:rFonts w:hint="eastAsia" w:ascii="宋体" w:hAnsi="宋体"/>
          <w:szCs w:val="21"/>
        </w:rPr>
        <w:t>本文件由贵州茅台（集团）生态农业产业发展有限公司提出。</w:t>
      </w:r>
    </w:p>
    <w:p>
      <w:pPr>
        <w:ind w:firstLine="420" w:firstLineChars="200"/>
        <w:rPr>
          <w:rFonts w:ascii="宋体" w:hAnsi="宋体" w:cs="宋体"/>
          <w:bCs/>
          <w:szCs w:val="21"/>
        </w:rPr>
      </w:pPr>
      <w:r>
        <w:rPr>
          <w:rFonts w:hint="eastAsia" w:ascii="宋体" w:hAnsi="宋体"/>
          <w:szCs w:val="21"/>
        </w:rPr>
        <w:t>本文件由贵州茅台（集团）生态农业产业发展有限公司质量技术部归口。</w:t>
      </w:r>
    </w:p>
    <w:p>
      <w:pPr>
        <w:ind w:firstLine="420" w:firstLineChars="200"/>
        <w:rPr>
          <w:rFonts w:ascii="宋体" w:hAnsi="宋体"/>
          <w:szCs w:val="21"/>
        </w:rPr>
      </w:pPr>
      <w:r>
        <w:rPr>
          <w:rFonts w:hint="eastAsia" w:ascii="宋体" w:hAnsi="宋体"/>
          <w:szCs w:val="21"/>
        </w:rPr>
        <w:t>本文件主要起草人</w:t>
      </w:r>
      <w:r>
        <w:rPr>
          <w:rFonts w:ascii="宋体" w:hAnsi="宋体"/>
          <w:szCs w:val="21"/>
        </w:rPr>
        <w:t>:</w:t>
      </w:r>
      <w:r>
        <w:rPr>
          <w:rFonts w:hint="eastAsia"/>
        </w:rPr>
        <w:t xml:space="preserve"> </w:t>
      </w:r>
      <w:r>
        <w:rPr>
          <w:rFonts w:hint="eastAsia" w:ascii="宋体" w:hAnsi="宋体"/>
          <w:szCs w:val="21"/>
        </w:rPr>
        <w:t>汪绪珍、杜志秀、吴颜欣、丁昱文、代菲、刘鸿安、骆书悦、赵漫漫。</w:t>
      </w:r>
    </w:p>
    <w:p>
      <w:pPr>
        <w:ind w:firstLine="420" w:firstLineChars="200"/>
        <w:rPr>
          <w:rFonts w:ascii="宋体" w:hAnsi="宋体"/>
          <w:b/>
          <w:bCs/>
          <w:szCs w:val="21"/>
        </w:rPr>
      </w:pPr>
    </w:p>
    <w:p>
      <w:pPr>
        <w:spacing w:line="240" w:lineRule="exact"/>
        <w:ind w:firstLine="480" w:firstLineChars="200"/>
        <w:rPr>
          <w:sz w:val="24"/>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rPr>
      </w:pPr>
    </w:p>
    <w:p>
      <w:pPr>
        <w:rPr>
          <w:kern w:val="10"/>
          <w:sz w:val="10"/>
          <w:szCs w:val="10"/>
        </w:rPr>
      </w:pPr>
    </w:p>
    <w:p>
      <w:pPr>
        <w:spacing w:beforeLines="150" w:afterLines="150"/>
        <w:ind w:firstLine="420"/>
        <w:jc w:val="center"/>
        <w:rPr>
          <w:sz w:val="32"/>
          <w:szCs w:val="32"/>
        </w:rPr>
      </w:pPr>
      <w:r>
        <w:rPr>
          <w:rFonts w:hint="eastAsia" w:ascii="黑体" w:hAnsi="黑体" w:eastAsia="黑体" w:cs="黑体"/>
          <w:sz w:val="32"/>
          <w:szCs w:val="32"/>
        </w:rPr>
        <w:t>蓝莓酒（配制型）</w:t>
      </w:r>
    </w:p>
    <w:p>
      <w:pPr>
        <w:spacing w:beforeLines="100" w:afterLines="100"/>
        <w:rPr>
          <w:rFonts w:ascii="黑体" w:hAnsi="黑体" w:eastAsia="黑体" w:cs="黑体"/>
          <w:szCs w:val="21"/>
        </w:rPr>
      </w:pPr>
      <w:r>
        <w:rPr>
          <w:rFonts w:ascii="黑体" w:hAnsi="黑体" w:eastAsia="黑体" w:cs="黑体"/>
          <w:szCs w:val="21"/>
        </w:rPr>
        <w:t>1</w:t>
      </w:r>
      <w:r>
        <w:rPr>
          <w:rFonts w:hint="eastAsia" w:ascii="黑体" w:hAnsi="黑体" w:eastAsia="黑体" w:cs="黑体"/>
          <w:szCs w:val="21"/>
        </w:rPr>
        <w:t xml:space="preserve">  范围</w:t>
      </w:r>
    </w:p>
    <w:p>
      <w:pPr>
        <w:ind w:firstLine="420" w:firstLineChars="200"/>
        <w:rPr>
          <w:rFonts w:ascii="宋体" w:hAnsi="宋体"/>
          <w:szCs w:val="21"/>
        </w:rPr>
      </w:pPr>
      <w:r>
        <w:rPr>
          <w:rFonts w:hint="eastAsia"/>
          <w:szCs w:val="21"/>
        </w:rPr>
        <w:t>本文件规定了蓝莓酒（配制型）</w:t>
      </w:r>
      <w:r>
        <w:rPr>
          <w:rFonts w:hint="eastAsia" w:ascii="宋体" w:hAnsi="宋体"/>
          <w:szCs w:val="21"/>
        </w:rPr>
        <w:t>的术语和定义、要求（含检验方法）、检验规则和标志、标签、包装、运输、贮存和保质期。</w:t>
      </w:r>
    </w:p>
    <w:p>
      <w:pPr>
        <w:ind w:firstLine="420"/>
        <w:rPr>
          <w:szCs w:val="21"/>
        </w:rPr>
      </w:pPr>
      <w:r>
        <w:rPr>
          <w:rFonts w:hint="eastAsia"/>
          <w:szCs w:val="21"/>
        </w:rPr>
        <w:t>本文件适用于蓝莓酒（配制型）</w:t>
      </w:r>
      <w:r>
        <w:rPr>
          <w:rFonts w:hint="eastAsia" w:ascii="宋体"/>
          <w:szCs w:val="21"/>
        </w:rPr>
        <w:t>的生产、检验和销售</w:t>
      </w:r>
      <w:r>
        <w:rPr>
          <w:rFonts w:hint="eastAsia"/>
          <w:szCs w:val="21"/>
        </w:rPr>
        <w:t>。</w:t>
      </w:r>
    </w:p>
    <w:p>
      <w:pPr>
        <w:spacing w:beforeLines="100" w:afterLines="100"/>
        <w:rPr>
          <w:rFonts w:ascii="黑体" w:hAnsi="黑体" w:eastAsia="黑体" w:cs="黑体"/>
          <w:szCs w:val="21"/>
        </w:rPr>
      </w:pPr>
      <w:r>
        <w:rPr>
          <w:rFonts w:ascii="黑体" w:hAnsi="黑体" w:eastAsia="黑体" w:cs="黑体"/>
          <w:szCs w:val="21"/>
        </w:rPr>
        <w:t>2</w:t>
      </w:r>
      <w:r>
        <w:rPr>
          <w:rFonts w:hint="eastAsia" w:ascii="黑体" w:hAnsi="黑体" w:eastAsia="黑体" w:cs="黑体"/>
          <w:szCs w:val="21"/>
        </w:rPr>
        <w:t xml:space="preserve">  规范性引用文件</w:t>
      </w:r>
    </w:p>
    <w:p>
      <w:pPr>
        <w:ind w:firstLine="420" w:firstLineChars="200"/>
        <w:jc w:val="left"/>
        <w:rPr>
          <w:rFonts w:ascii="宋体"/>
          <w:bCs/>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宋体" w:hAnsi="宋体"/>
          <w:bCs/>
          <w:szCs w:val="21"/>
        </w:rPr>
        <w:t>。</w:t>
      </w:r>
    </w:p>
    <w:p>
      <w:pPr>
        <w:ind w:firstLine="420" w:firstLineChars="200"/>
        <w:rPr>
          <w:rFonts w:ascii="宋体" w:hAnsi="宋体"/>
          <w:szCs w:val="21"/>
        </w:rPr>
      </w:pPr>
      <w:r>
        <w:rPr>
          <w:rFonts w:hint="eastAsia" w:ascii="宋体" w:hAnsi="宋体"/>
          <w:szCs w:val="21"/>
        </w:rPr>
        <w:t>GB/T 191  包装储运图示标志</w:t>
      </w:r>
    </w:p>
    <w:p>
      <w:pPr>
        <w:ind w:firstLine="420" w:firstLineChars="200"/>
        <w:rPr>
          <w:rFonts w:ascii="宋体" w:hAnsi="宋体"/>
          <w:szCs w:val="21"/>
        </w:rPr>
      </w:pPr>
      <w:r>
        <w:rPr>
          <w:rFonts w:hint="eastAsia" w:ascii="宋体" w:hAnsi="宋体"/>
          <w:szCs w:val="21"/>
        </w:rPr>
        <w:t>GB 2757  食品安全国家标准 蒸馏酒及其配制酒</w:t>
      </w:r>
    </w:p>
    <w:p>
      <w:pPr>
        <w:ind w:firstLine="420" w:firstLineChars="200"/>
        <w:rPr>
          <w:rFonts w:ascii="宋体" w:hAnsi="宋体"/>
          <w:szCs w:val="21"/>
        </w:rPr>
      </w:pPr>
      <w:r>
        <w:rPr>
          <w:rFonts w:hint="eastAsia" w:ascii="宋体" w:hAnsi="宋体"/>
          <w:szCs w:val="21"/>
        </w:rPr>
        <w:t>GB 2758  食品安全国家标准 发酵酒及其配制酒</w:t>
      </w:r>
    </w:p>
    <w:p>
      <w:pPr>
        <w:ind w:firstLine="420" w:firstLineChars="200"/>
        <w:rPr>
          <w:rFonts w:ascii="宋体" w:hAnsi="宋体"/>
          <w:szCs w:val="21"/>
        </w:rPr>
      </w:pPr>
      <w:r>
        <w:rPr>
          <w:rFonts w:hint="eastAsia" w:ascii="宋体" w:hAnsi="宋体"/>
          <w:szCs w:val="21"/>
        </w:rPr>
        <w:t>GB 2760  食品安全国家标准 食品添加剂使用标准</w:t>
      </w:r>
    </w:p>
    <w:p>
      <w:pPr>
        <w:ind w:firstLine="420" w:firstLineChars="200"/>
        <w:rPr>
          <w:rFonts w:ascii="宋体" w:hAnsi="宋体"/>
          <w:szCs w:val="21"/>
        </w:rPr>
      </w:pPr>
      <w:r>
        <w:rPr>
          <w:rFonts w:hint="eastAsia" w:ascii="宋体" w:hAnsi="宋体"/>
          <w:szCs w:val="21"/>
        </w:rPr>
        <w:t>GB 2762  食品安全国家标准 食品中污染物限量</w:t>
      </w:r>
    </w:p>
    <w:p>
      <w:pPr>
        <w:ind w:firstLine="420" w:firstLineChars="200"/>
        <w:rPr>
          <w:rFonts w:ascii="宋体" w:hAnsi="宋体"/>
          <w:szCs w:val="21"/>
        </w:rPr>
      </w:pPr>
      <w:r>
        <w:rPr>
          <w:rFonts w:hint="eastAsia" w:ascii="宋体" w:hAnsi="宋体"/>
          <w:szCs w:val="21"/>
        </w:rPr>
        <w:t>GB 4789.1  食品安全国家标准食品卫生微生物学检验  总则</w:t>
      </w:r>
    </w:p>
    <w:p>
      <w:pPr>
        <w:ind w:firstLine="420" w:firstLineChars="200"/>
        <w:rPr>
          <w:rFonts w:ascii="宋体" w:hAnsi="宋体"/>
          <w:szCs w:val="21"/>
        </w:rPr>
      </w:pPr>
      <w:r>
        <w:rPr>
          <w:rFonts w:hint="eastAsia" w:ascii="宋体" w:hAnsi="宋体"/>
          <w:szCs w:val="21"/>
        </w:rPr>
        <w:t>GB 4789.2  食品安全国家标准 食品微生物学检验 菌落总数测定</w:t>
      </w:r>
    </w:p>
    <w:p>
      <w:pPr>
        <w:ind w:firstLine="420" w:firstLineChars="200"/>
        <w:rPr>
          <w:rFonts w:ascii="宋体" w:hAnsi="宋体"/>
          <w:szCs w:val="21"/>
        </w:rPr>
      </w:pPr>
      <w:r>
        <w:rPr>
          <w:rFonts w:hint="eastAsia" w:ascii="宋体" w:hAnsi="宋体"/>
          <w:szCs w:val="21"/>
        </w:rPr>
        <w:t>GB 4789.3  食品安全国家标准 食品微生物学检验 大肠菌群计数</w:t>
      </w:r>
    </w:p>
    <w:p>
      <w:pPr>
        <w:ind w:firstLine="420" w:firstLineChars="200"/>
        <w:rPr>
          <w:rFonts w:ascii="宋体" w:hAnsi="宋体"/>
          <w:szCs w:val="21"/>
        </w:rPr>
      </w:pPr>
      <w:r>
        <w:rPr>
          <w:rFonts w:hint="eastAsia" w:ascii="宋体" w:hAnsi="宋体"/>
          <w:szCs w:val="21"/>
        </w:rPr>
        <w:t>GB 4789.4  食品安全国家标准 食品微生物学检验 沙门氏菌检验</w:t>
      </w:r>
    </w:p>
    <w:p>
      <w:pPr>
        <w:ind w:firstLine="420" w:firstLineChars="200"/>
        <w:rPr>
          <w:rFonts w:ascii="宋体" w:hAnsi="宋体"/>
          <w:szCs w:val="21"/>
        </w:rPr>
      </w:pPr>
      <w:r>
        <w:rPr>
          <w:rFonts w:hint="eastAsia" w:ascii="宋体" w:hAnsi="宋体"/>
          <w:szCs w:val="21"/>
        </w:rPr>
        <w:t>GB 4789.10  食品安全国家标准 食品微生物学检验 金黄色葡萄球菌检验</w:t>
      </w:r>
    </w:p>
    <w:p>
      <w:pPr>
        <w:ind w:firstLine="420" w:firstLineChars="200"/>
        <w:rPr>
          <w:rFonts w:ascii="宋体" w:hAnsi="宋体"/>
        </w:rPr>
      </w:pPr>
      <w:r>
        <w:rPr>
          <w:rFonts w:hint="eastAsia" w:ascii="宋体" w:hAnsi="宋体"/>
        </w:rPr>
        <w:t>GB 5009.12  食品安全国家标准 食品中铅的测定</w:t>
      </w:r>
    </w:p>
    <w:p>
      <w:pPr>
        <w:ind w:firstLine="420" w:firstLineChars="200"/>
        <w:rPr>
          <w:rFonts w:ascii="宋体" w:hAnsi="宋体"/>
        </w:rPr>
      </w:pPr>
      <w:r>
        <w:rPr>
          <w:rFonts w:hint="eastAsia" w:ascii="宋体" w:hAnsi="宋体"/>
        </w:rPr>
        <w:t>GB 5009.36  食品安全国家标准 食品中氰化物的测定</w:t>
      </w:r>
    </w:p>
    <w:p>
      <w:pPr>
        <w:ind w:firstLine="420" w:firstLineChars="200"/>
        <w:rPr>
          <w:rFonts w:ascii="宋体" w:hAnsi="宋体"/>
        </w:rPr>
      </w:pPr>
      <w:r>
        <w:rPr>
          <w:rFonts w:hint="eastAsia" w:ascii="宋体" w:hAnsi="宋体"/>
        </w:rPr>
        <w:t>GB 5009.225  食品安全国家标准 酒中乙醇浓度的测定</w:t>
      </w:r>
    </w:p>
    <w:p>
      <w:pPr>
        <w:ind w:firstLine="420" w:firstLineChars="200"/>
        <w:rPr>
          <w:rFonts w:ascii="宋体" w:hAnsi="宋体"/>
        </w:rPr>
      </w:pPr>
      <w:r>
        <w:rPr>
          <w:rFonts w:hint="eastAsia" w:ascii="宋体" w:hAnsi="宋体"/>
        </w:rPr>
        <w:t>GB 5009.266  食品安全国家标准 食品中甲醇的测定</w:t>
      </w:r>
    </w:p>
    <w:p>
      <w:pPr>
        <w:ind w:firstLine="420" w:firstLineChars="200"/>
        <w:rPr>
          <w:rFonts w:ascii="宋体" w:hAnsi="宋体"/>
          <w:szCs w:val="21"/>
        </w:rPr>
      </w:pPr>
      <w:r>
        <w:rPr>
          <w:rFonts w:hint="eastAsia" w:ascii="宋体" w:hAnsi="宋体"/>
          <w:szCs w:val="21"/>
        </w:rPr>
        <w:t>GB 7718  食品安全国家标准预包装食品标签通则</w:t>
      </w:r>
    </w:p>
    <w:p>
      <w:pPr>
        <w:ind w:firstLine="420" w:firstLineChars="200"/>
        <w:rPr>
          <w:rFonts w:ascii="宋体" w:hAnsi="宋体"/>
          <w:szCs w:val="21"/>
        </w:rPr>
      </w:pPr>
      <w:r>
        <w:rPr>
          <w:rFonts w:hint="eastAsia" w:ascii="宋体" w:hAnsi="宋体"/>
          <w:szCs w:val="21"/>
        </w:rPr>
        <w:t>GB 8951  食品安全国家标准 蒸馏酒及其配制酒生产卫生规范</w:t>
      </w:r>
    </w:p>
    <w:p>
      <w:pPr>
        <w:ind w:firstLine="420" w:firstLineChars="200"/>
        <w:rPr>
          <w:rFonts w:ascii="宋体" w:hAnsi="宋体"/>
          <w:szCs w:val="21"/>
        </w:rPr>
      </w:pPr>
      <w:r>
        <w:rPr>
          <w:rFonts w:hint="eastAsia" w:ascii="宋体" w:hAnsi="宋体"/>
          <w:szCs w:val="21"/>
        </w:rPr>
        <w:t>GB 14881  食品安全国家标准 食品生产通用卫生规范</w:t>
      </w:r>
    </w:p>
    <w:p>
      <w:pPr>
        <w:ind w:firstLine="420" w:firstLineChars="200"/>
        <w:rPr>
          <w:rFonts w:ascii="宋体" w:hAnsi="宋体"/>
          <w:szCs w:val="21"/>
        </w:rPr>
      </w:pPr>
      <w:r>
        <w:rPr>
          <w:rFonts w:hint="eastAsia" w:ascii="宋体" w:hAnsi="宋体"/>
          <w:szCs w:val="21"/>
        </w:rPr>
        <w:t>GB/T 15038  葡萄酒、果酒通用分析方法</w:t>
      </w:r>
    </w:p>
    <w:p>
      <w:pPr>
        <w:ind w:firstLine="420" w:firstLineChars="200"/>
        <w:rPr>
          <w:rFonts w:ascii="宋体" w:hAnsi="宋体"/>
          <w:szCs w:val="21"/>
        </w:rPr>
      </w:pPr>
      <w:r>
        <w:rPr>
          <w:rFonts w:hint="eastAsia" w:ascii="宋体" w:hAnsi="宋体"/>
          <w:szCs w:val="21"/>
        </w:rPr>
        <w:t>GB/T 17204  饮料酒术语和分类</w:t>
      </w:r>
    </w:p>
    <w:p>
      <w:pPr>
        <w:ind w:firstLine="420" w:firstLineChars="200"/>
        <w:rPr>
          <w:rFonts w:ascii="宋体" w:hAnsi="宋体"/>
          <w:szCs w:val="21"/>
        </w:rPr>
      </w:pPr>
      <w:r>
        <w:rPr>
          <w:rFonts w:hint="eastAsia" w:ascii="宋体" w:hAnsi="宋体"/>
          <w:szCs w:val="21"/>
        </w:rPr>
        <w:t>GB 17325  食品安全国家标准  食品工业用浓缩液（汁、浆）</w:t>
      </w:r>
    </w:p>
    <w:p>
      <w:pPr>
        <w:ind w:firstLine="420" w:firstLineChars="200"/>
        <w:rPr>
          <w:rFonts w:ascii="宋体" w:hAnsi="宋体"/>
          <w:szCs w:val="21"/>
        </w:rPr>
      </w:pPr>
      <w:r>
        <w:rPr>
          <w:rFonts w:hint="eastAsia" w:ascii="宋体" w:hAnsi="宋体"/>
          <w:szCs w:val="21"/>
        </w:rPr>
        <w:t>GB 19298  食品安全国家标准 包装饮用水</w:t>
      </w:r>
    </w:p>
    <w:p>
      <w:pPr>
        <w:ind w:firstLine="420" w:firstLineChars="200"/>
        <w:rPr>
          <w:rFonts w:ascii="宋体" w:hAnsi="宋体"/>
          <w:szCs w:val="21"/>
        </w:rPr>
      </w:pPr>
      <w:r>
        <w:rPr>
          <w:rFonts w:hint="eastAsia" w:ascii="宋体" w:hAnsi="宋体"/>
          <w:szCs w:val="21"/>
        </w:rPr>
        <w:t>GB/T 26760  酱香型白酒</w:t>
      </w:r>
    </w:p>
    <w:p>
      <w:pPr>
        <w:ind w:firstLine="420" w:firstLineChars="200"/>
        <w:rPr>
          <w:rFonts w:ascii="宋体" w:hAnsi="宋体"/>
          <w:szCs w:val="21"/>
        </w:rPr>
      </w:pPr>
      <w:r>
        <w:rPr>
          <w:rFonts w:ascii="宋体" w:hAnsi="宋体"/>
          <w:szCs w:val="21"/>
        </w:rPr>
        <w:t>GB 31640</w:t>
      </w:r>
      <w:r>
        <w:rPr>
          <w:rFonts w:hint="eastAsia" w:ascii="宋体" w:hAnsi="宋体"/>
          <w:szCs w:val="21"/>
        </w:rPr>
        <w:t xml:space="preserve"> </w:t>
      </w:r>
      <w:r>
        <w:rPr>
          <w:rFonts w:ascii="宋体" w:hAnsi="宋体"/>
          <w:szCs w:val="21"/>
        </w:rPr>
        <w:t xml:space="preserve"> 食品安全国家标准 食用酒精</w:t>
      </w:r>
    </w:p>
    <w:p>
      <w:pPr>
        <w:ind w:firstLine="420" w:firstLineChars="200"/>
        <w:rPr>
          <w:rFonts w:ascii="宋体" w:hAnsi="宋体"/>
          <w:szCs w:val="21"/>
        </w:rPr>
      </w:pPr>
      <w:r>
        <w:rPr>
          <w:rFonts w:hint="eastAsia" w:ascii="宋体" w:hAnsi="宋体"/>
          <w:szCs w:val="21"/>
        </w:rPr>
        <w:t>GB/T 32783  蓝莓酒</w:t>
      </w:r>
    </w:p>
    <w:p>
      <w:pPr>
        <w:ind w:firstLine="420" w:firstLineChars="200"/>
        <w:rPr>
          <w:rFonts w:ascii="宋体" w:hAnsi="宋体"/>
        </w:rPr>
      </w:pPr>
      <w:r>
        <w:rPr>
          <w:rFonts w:hint="eastAsia" w:ascii="宋体" w:hAnsi="宋体"/>
        </w:rPr>
        <w:t>JJF 1070  定量包装商品净含量计量检验规则</w:t>
      </w:r>
    </w:p>
    <w:p>
      <w:pPr>
        <w:ind w:firstLine="420" w:firstLineChars="200"/>
        <w:rPr>
          <w:rFonts w:ascii="宋体" w:hAnsi="宋体"/>
          <w:szCs w:val="21"/>
        </w:rPr>
      </w:pPr>
      <w:r>
        <w:rPr>
          <w:rFonts w:hint="eastAsia" w:ascii="宋体" w:hAnsi="宋体"/>
          <w:szCs w:val="21"/>
        </w:rPr>
        <w:t>Q/MTNYJ 0207S  蓝莓酒（发酵型）</w:t>
      </w:r>
    </w:p>
    <w:p>
      <w:pPr>
        <w:spacing w:beforeLines="100" w:afterLines="100"/>
        <w:rPr>
          <w:rFonts w:ascii="黑体" w:hAnsi="黑体" w:eastAsia="黑体" w:cs="黑体"/>
          <w:szCs w:val="21"/>
        </w:rPr>
      </w:pPr>
      <w:r>
        <w:rPr>
          <w:rFonts w:ascii="黑体" w:hAnsi="黑体" w:eastAsia="黑体" w:cs="黑体"/>
          <w:szCs w:val="21"/>
        </w:rPr>
        <w:t xml:space="preserve">3 </w:t>
      </w:r>
      <w:r>
        <w:rPr>
          <w:rFonts w:hint="eastAsia" w:ascii="黑体" w:hAnsi="黑体" w:eastAsia="黑体" w:cs="黑体"/>
          <w:szCs w:val="21"/>
        </w:rPr>
        <w:t xml:space="preserve"> 术语和定义</w:t>
      </w:r>
    </w:p>
    <w:p>
      <w:pPr>
        <w:ind w:firstLine="420" w:firstLineChars="200"/>
        <w:rPr>
          <w:rFonts w:cs="黑体" w:asciiTheme="minorEastAsia" w:hAnsiTheme="minorEastAsia" w:eastAsiaTheme="minorEastAsia"/>
          <w:szCs w:val="21"/>
        </w:rPr>
      </w:pPr>
      <w:r>
        <w:rPr>
          <w:rFonts w:hint="eastAsia" w:asciiTheme="minorEastAsia" w:hAnsiTheme="minorEastAsia" w:eastAsiaTheme="minorEastAsia"/>
          <w:szCs w:val="21"/>
        </w:rPr>
        <w:t>GB/T 17204规定的术语和定义及下列术语和定义适用于本文件。</w:t>
      </w:r>
    </w:p>
    <w:p>
      <w:pPr>
        <w:spacing w:beforeLines="50" w:afterLines="50"/>
        <w:ind w:firstLine="420" w:firstLineChars="200"/>
        <w:rPr>
          <w:rFonts w:ascii="黑体" w:hAnsi="黑体" w:eastAsia="黑体" w:cs="黑体"/>
          <w:szCs w:val="21"/>
        </w:rPr>
      </w:pPr>
      <w:r>
        <w:rPr>
          <w:rFonts w:hint="eastAsia" w:ascii="黑体" w:hAnsi="黑体" w:eastAsia="黑体" w:cs="黑体"/>
          <w:szCs w:val="21"/>
        </w:rPr>
        <w:t>蓝莓酒（配制型）</w:t>
      </w:r>
    </w:p>
    <w:p>
      <w:pPr>
        <w:ind w:firstLine="420" w:firstLineChars="200"/>
        <w:rPr>
          <w:rFonts w:ascii="宋体" w:hAnsi="宋体"/>
          <w:szCs w:val="21"/>
        </w:rPr>
      </w:pPr>
      <w:r>
        <w:rPr>
          <w:rFonts w:hint="eastAsia" w:ascii="宋体" w:hAnsi="宋体"/>
          <w:szCs w:val="21"/>
        </w:rPr>
        <w:t>以发酵酒、蒸馏酒或食用酒精为酒基，加入浓缩蓝莓汁、浓缩苹果汁等果汁原料，加气或不加气，经调和、过滤、灭菌、灌装等工艺制成的配制酒。</w:t>
      </w:r>
    </w:p>
    <w:p>
      <w:pPr>
        <w:spacing w:beforeLines="100" w:afterLines="100"/>
        <w:rPr>
          <w:rFonts w:ascii="黑体" w:hAnsi="黑体" w:eastAsia="黑体" w:cs="黑体"/>
          <w:szCs w:val="21"/>
        </w:rPr>
      </w:pPr>
      <w:r>
        <w:rPr>
          <w:rFonts w:hint="eastAsia" w:ascii="黑体" w:hAnsi="黑体" w:eastAsia="黑体" w:cs="黑体"/>
          <w:szCs w:val="21"/>
        </w:rPr>
        <w:t>4  要求</w:t>
      </w:r>
    </w:p>
    <w:p>
      <w:pPr>
        <w:spacing w:before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 xml:space="preserve">.1 </w:t>
      </w:r>
      <w:r>
        <w:rPr>
          <w:rFonts w:hint="eastAsia" w:ascii="黑体" w:hAnsi="黑体" w:eastAsia="黑体" w:cs="黑体"/>
          <w:szCs w:val="21"/>
        </w:rPr>
        <w:t xml:space="preserve"> 原辅料要求</w:t>
      </w:r>
    </w:p>
    <w:p>
      <w:pPr>
        <w:spacing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1  蓝莓酒（发酵型）</w:t>
      </w:r>
    </w:p>
    <w:p>
      <w:pPr>
        <w:ind w:firstLine="420" w:firstLineChars="200"/>
        <w:rPr>
          <w:rFonts w:ascii="宋体" w:hAnsi="宋体"/>
          <w:szCs w:val="21"/>
        </w:rPr>
      </w:pPr>
      <w:r>
        <w:rPr>
          <w:rFonts w:hint="eastAsia" w:ascii="宋体" w:hAnsi="宋体"/>
          <w:szCs w:val="21"/>
        </w:rPr>
        <w:t>应符合</w:t>
      </w:r>
      <w:r>
        <w:rPr>
          <w:rFonts w:hint="eastAsia" w:ascii="宋体"/>
          <w:szCs w:val="21"/>
        </w:rPr>
        <w:t>Q/MTNYJ 0207S</w:t>
      </w:r>
      <w:r>
        <w:rPr>
          <w:rFonts w:hint="eastAsia" w:ascii="宋体" w:hAnsi="宋体"/>
          <w:szCs w:val="21"/>
        </w:rPr>
        <w:t>的规定。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2  发酵酒</w:t>
      </w:r>
    </w:p>
    <w:p>
      <w:pPr>
        <w:ind w:firstLine="420" w:firstLineChars="200"/>
        <w:rPr>
          <w:rFonts w:ascii="宋体" w:hAnsi="宋体"/>
          <w:szCs w:val="21"/>
        </w:rPr>
      </w:pPr>
      <w:r>
        <w:rPr>
          <w:rFonts w:hint="eastAsia" w:ascii="宋体" w:hAnsi="宋体"/>
          <w:szCs w:val="21"/>
        </w:rPr>
        <w:t>应符合</w:t>
      </w:r>
      <w:r>
        <w:rPr>
          <w:rFonts w:hint="eastAsia" w:ascii="宋体"/>
          <w:szCs w:val="21"/>
        </w:rPr>
        <w:t>GB 2758</w:t>
      </w:r>
      <w:r>
        <w:rPr>
          <w:rFonts w:hint="eastAsia" w:ascii="宋体" w:hAnsi="宋体"/>
          <w:szCs w:val="21"/>
        </w:rPr>
        <w:t>的规定。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3  蒸馏酒</w:t>
      </w:r>
    </w:p>
    <w:p>
      <w:pPr>
        <w:ind w:firstLine="420" w:firstLineChars="200"/>
        <w:rPr>
          <w:rFonts w:ascii="宋体" w:hAnsi="宋体"/>
          <w:szCs w:val="21"/>
        </w:rPr>
      </w:pPr>
      <w:r>
        <w:rPr>
          <w:rFonts w:hint="eastAsia" w:ascii="宋体"/>
          <w:szCs w:val="21"/>
        </w:rPr>
        <w:t>应符合GB/T 26760和GB 2757的</w:t>
      </w:r>
      <w:r>
        <w:rPr>
          <w:rFonts w:hint="eastAsia" w:ascii="宋体" w:hAnsi="宋体"/>
          <w:szCs w:val="21"/>
        </w:rPr>
        <w:t>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4  食用酒精</w:t>
      </w:r>
    </w:p>
    <w:p>
      <w:pPr>
        <w:ind w:firstLine="420" w:firstLineChars="200"/>
        <w:rPr>
          <w:rFonts w:ascii="宋体" w:hAnsi="宋体"/>
          <w:szCs w:val="21"/>
        </w:rPr>
      </w:pPr>
      <w:r>
        <w:rPr>
          <w:rFonts w:hint="eastAsia" w:ascii="宋体"/>
          <w:szCs w:val="21"/>
        </w:rPr>
        <w:t>应符合</w:t>
      </w:r>
      <w:r>
        <w:rPr>
          <w:rFonts w:ascii="宋体" w:hAnsi="宋体"/>
          <w:szCs w:val="21"/>
        </w:rPr>
        <w:t>GB 31640</w:t>
      </w:r>
      <w:r>
        <w:rPr>
          <w:rFonts w:hint="eastAsia" w:ascii="宋体"/>
          <w:szCs w:val="21"/>
        </w:rPr>
        <w:t>的</w:t>
      </w:r>
      <w:r>
        <w:rPr>
          <w:rFonts w:hint="eastAsia" w:ascii="宋体" w:hAnsi="宋体"/>
          <w:szCs w:val="21"/>
        </w:rPr>
        <w:t>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5  浓缩蓝莓汁、浓缩苹果汁或其他果汁</w:t>
      </w:r>
    </w:p>
    <w:p>
      <w:pPr>
        <w:ind w:firstLine="420" w:firstLineChars="200"/>
        <w:rPr>
          <w:rFonts w:ascii="宋体" w:hAnsi="宋体"/>
          <w:szCs w:val="21"/>
        </w:rPr>
      </w:pPr>
      <w:r>
        <w:rPr>
          <w:rFonts w:hint="eastAsia" w:ascii="宋体" w:hAnsi="宋体"/>
          <w:szCs w:val="21"/>
        </w:rPr>
        <w:t>应符合</w:t>
      </w:r>
      <w:r>
        <w:rPr>
          <w:rFonts w:ascii="宋体" w:hAnsi="宋体"/>
          <w:szCs w:val="21"/>
        </w:rPr>
        <w:t>GB 17325</w:t>
      </w:r>
      <w:r>
        <w:rPr>
          <w:rFonts w:hint="eastAsia" w:ascii="宋体" w:hAnsi="宋体"/>
          <w:szCs w:val="21"/>
        </w:rPr>
        <w:t>的规定。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6  调配用水</w:t>
      </w:r>
    </w:p>
    <w:p>
      <w:pPr>
        <w:ind w:firstLine="420" w:firstLineChars="200"/>
        <w:rPr>
          <w:rFonts w:ascii="宋体"/>
          <w:szCs w:val="21"/>
        </w:rPr>
      </w:pPr>
      <w:r>
        <w:rPr>
          <w:rFonts w:hint="eastAsia" w:ascii="宋体" w:hAnsi="宋体"/>
          <w:szCs w:val="21"/>
        </w:rPr>
        <w:t>应</w:t>
      </w:r>
      <w:r>
        <w:rPr>
          <w:rFonts w:hint="eastAsia" w:ascii="宋体"/>
          <w:szCs w:val="21"/>
        </w:rPr>
        <w:t>符合</w:t>
      </w:r>
      <w:r>
        <w:rPr>
          <w:rFonts w:ascii="宋体"/>
          <w:szCs w:val="21"/>
        </w:rPr>
        <w:t>GB 1</w:t>
      </w:r>
      <w:r>
        <w:rPr>
          <w:rFonts w:hint="eastAsia" w:ascii="宋体"/>
          <w:szCs w:val="21"/>
        </w:rPr>
        <w:t>9298的规定。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rPr>
        <w:t>7  其他原辅料</w:t>
      </w:r>
    </w:p>
    <w:p>
      <w:pPr>
        <w:ind w:firstLine="420" w:firstLineChars="200"/>
        <w:rPr>
          <w:rFonts w:ascii="黑体" w:hAnsi="黑体" w:eastAsia="黑体"/>
          <w:szCs w:val="21"/>
        </w:rPr>
      </w:pPr>
      <w:r>
        <w:rPr>
          <w:rFonts w:hint="eastAsia" w:hAnsi="宋体"/>
        </w:rPr>
        <w:t>应符合相应标准或有关规定。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 xml:space="preserve">.2 </w:t>
      </w:r>
      <w:r>
        <w:rPr>
          <w:rFonts w:hint="eastAsia" w:ascii="黑体" w:hAnsi="黑体" w:eastAsia="黑体" w:cs="黑体"/>
          <w:szCs w:val="21"/>
        </w:rPr>
        <w:t xml:space="preserve"> 感官要求</w:t>
      </w:r>
    </w:p>
    <w:p>
      <w:pPr>
        <w:pStyle w:val="3"/>
        <w:ind w:firstLine="420" w:firstLineChars="200"/>
        <w:rPr>
          <w:rFonts w:ascii="宋体" w:hAnsi="宋体"/>
          <w:sz w:val="21"/>
          <w:szCs w:val="21"/>
        </w:rPr>
      </w:pPr>
      <w:r>
        <w:rPr>
          <w:rFonts w:hint="eastAsia" w:ascii="宋体" w:hAnsi="宋体"/>
          <w:sz w:val="21"/>
          <w:szCs w:val="21"/>
        </w:rPr>
        <w:t>应符合表1的规定。</w:t>
      </w:r>
    </w:p>
    <w:p>
      <w:pPr>
        <w:spacing w:beforeLines="50" w:afterLines="50"/>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p>
    <w:tbl>
      <w:tblPr>
        <w:tblStyle w:val="1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59"/>
        <w:gridCol w:w="51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8" w:type="dxa"/>
            <w:gridSpan w:val="2"/>
            <w:vAlign w:val="center"/>
          </w:tcPr>
          <w:p>
            <w:pPr>
              <w:jc w:val="center"/>
              <w:rPr>
                <w:rFonts w:ascii="宋体" w:hAnsi="宋体"/>
                <w:sz w:val="18"/>
                <w:szCs w:val="18"/>
              </w:rPr>
            </w:pPr>
            <w:r>
              <w:rPr>
                <w:rFonts w:hint="eastAsia" w:ascii="宋体" w:hAnsi="宋体"/>
                <w:sz w:val="18"/>
                <w:szCs w:val="18"/>
              </w:rPr>
              <w:t>项  目</w:t>
            </w:r>
          </w:p>
        </w:tc>
        <w:tc>
          <w:tcPr>
            <w:tcW w:w="5183" w:type="dxa"/>
            <w:vAlign w:val="center"/>
          </w:tcPr>
          <w:p>
            <w:pPr>
              <w:jc w:val="center"/>
              <w:rPr>
                <w:rFonts w:ascii="宋体"/>
                <w:sz w:val="18"/>
                <w:szCs w:val="18"/>
              </w:rPr>
            </w:pPr>
            <w:r>
              <w:rPr>
                <w:rFonts w:hint="eastAsia" w:ascii="宋体" w:hAnsi="宋体"/>
                <w:sz w:val="18"/>
                <w:szCs w:val="18"/>
              </w:rPr>
              <w:t>要  求</w:t>
            </w:r>
          </w:p>
        </w:tc>
        <w:tc>
          <w:tcPr>
            <w:tcW w:w="1531" w:type="dxa"/>
            <w:vAlign w:val="center"/>
          </w:tcPr>
          <w:p>
            <w:pPr>
              <w:jc w:val="center"/>
              <w:rPr>
                <w:rFonts w:ascii="宋体" w:hAnsi="宋体"/>
                <w:sz w:val="18"/>
                <w:szCs w:val="18"/>
              </w:rPr>
            </w:pPr>
            <w:r>
              <w:rPr>
                <w:rFonts w:hint="eastAsia" w:ascii="宋体" w:hAnsi="宋体"/>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Merge w:val="restart"/>
            <w:vAlign w:val="center"/>
          </w:tcPr>
          <w:p>
            <w:pPr>
              <w:jc w:val="center"/>
              <w:rPr>
                <w:rFonts w:ascii="宋体"/>
                <w:sz w:val="18"/>
                <w:szCs w:val="18"/>
              </w:rPr>
            </w:pPr>
            <w:r>
              <w:rPr>
                <w:rFonts w:hint="eastAsia" w:ascii="宋体" w:hAnsi="宋体"/>
                <w:sz w:val="18"/>
                <w:szCs w:val="18"/>
              </w:rPr>
              <w:t>外  观</w:t>
            </w:r>
          </w:p>
        </w:tc>
        <w:tc>
          <w:tcPr>
            <w:tcW w:w="1559" w:type="dxa"/>
            <w:vAlign w:val="center"/>
          </w:tcPr>
          <w:p>
            <w:pPr>
              <w:jc w:val="center"/>
              <w:rPr>
                <w:rFonts w:ascii="宋体" w:hAnsi="宋体"/>
                <w:sz w:val="18"/>
                <w:szCs w:val="18"/>
              </w:rPr>
            </w:pPr>
            <w:r>
              <w:rPr>
                <w:rFonts w:hint="eastAsia" w:ascii="宋体" w:hAnsi="宋体"/>
                <w:sz w:val="18"/>
                <w:szCs w:val="18"/>
              </w:rPr>
              <w:t>色  泽</w:t>
            </w:r>
          </w:p>
        </w:tc>
        <w:tc>
          <w:tcPr>
            <w:tcW w:w="5183" w:type="dxa"/>
            <w:vAlign w:val="center"/>
          </w:tcPr>
          <w:p>
            <w:pPr>
              <w:jc w:val="center"/>
              <w:rPr>
                <w:rFonts w:ascii="宋体"/>
                <w:sz w:val="18"/>
                <w:szCs w:val="18"/>
              </w:rPr>
            </w:pPr>
            <w:r>
              <w:rPr>
                <w:rFonts w:hint="eastAsia" w:ascii="宋体" w:hAnsi="宋体"/>
                <w:sz w:val="18"/>
                <w:szCs w:val="18"/>
              </w:rPr>
              <w:t>具有本品固有的色泽</w:t>
            </w:r>
          </w:p>
        </w:tc>
        <w:tc>
          <w:tcPr>
            <w:tcW w:w="1531" w:type="dxa"/>
            <w:vMerge w:val="restart"/>
            <w:vAlign w:val="center"/>
          </w:tcPr>
          <w:p>
            <w:pPr>
              <w:jc w:val="center"/>
              <w:rPr>
                <w:rFonts w:ascii="宋体" w:hAnsi="宋体"/>
                <w:sz w:val="18"/>
                <w:szCs w:val="18"/>
              </w:rPr>
            </w:pPr>
            <w:r>
              <w:rPr>
                <w:rFonts w:hint="eastAsia" w:ascii="宋体" w:hAnsi="宋体"/>
                <w:sz w:val="18"/>
                <w:szCs w:val="18"/>
              </w:rPr>
              <w:t>GB/T 15038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Merge w:val="continue"/>
            <w:vAlign w:val="center"/>
          </w:tcPr>
          <w:p>
            <w:pPr>
              <w:jc w:val="center"/>
              <w:rPr>
                <w:rFonts w:ascii="宋体" w:hAnsi="宋体"/>
                <w:sz w:val="18"/>
                <w:szCs w:val="18"/>
              </w:rPr>
            </w:pPr>
          </w:p>
        </w:tc>
        <w:tc>
          <w:tcPr>
            <w:tcW w:w="1559" w:type="dxa"/>
            <w:vAlign w:val="center"/>
          </w:tcPr>
          <w:p>
            <w:pPr>
              <w:jc w:val="center"/>
              <w:rPr>
                <w:rFonts w:ascii="宋体" w:hAnsi="宋体"/>
                <w:sz w:val="18"/>
                <w:szCs w:val="18"/>
              </w:rPr>
            </w:pPr>
            <w:r>
              <w:rPr>
                <w:rFonts w:hint="eastAsia" w:ascii="宋体" w:hAnsi="宋体"/>
                <w:sz w:val="18"/>
                <w:szCs w:val="18"/>
              </w:rPr>
              <w:t>澄清程度</w:t>
            </w:r>
          </w:p>
        </w:tc>
        <w:tc>
          <w:tcPr>
            <w:tcW w:w="5183" w:type="dxa"/>
            <w:vAlign w:val="center"/>
          </w:tcPr>
          <w:p>
            <w:pPr>
              <w:jc w:val="center"/>
              <w:rPr>
                <w:rFonts w:ascii="宋体" w:hAnsi="宋体"/>
                <w:sz w:val="18"/>
                <w:szCs w:val="18"/>
              </w:rPr>
            </w:pPr>
            <w:r>
              <w:rPr>
                <w:rFonts w:hint="eastAsia" w:ascii="宋体"/>
                <w:sz w:val="18"/>
                <w:szCs w:val="18"/>
              </w:rPr>
              <w:t>澄清，有光泽</w:t>
            </w:r>
          </w:p>
        </w:tc>
        <w:tc>
          <w:tcPr>
            <w:tcW w:w="1531"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8" w:type="dxa"/>
            <w:gridSpan w:val="2"/>
            <w:vAlign w:val="center"/>
          </w:tcPr>
          <w:p>
            <w:pPr>
              <w:jc w:val="center"/>
              <w:rPr>
                <w:rFonts w:ascii="宋体" w:hAnsi="宋体"/>
                <w:sz w:val="18"/>
                <w:szCs w:val="18"/>
              </w:rPr>
            </w:pPr>
            <w:r>
              <w:rPr>
                <w:rFonts w:hint="eastAsia" w:ascii="宋体" w:hAnsi="宋体"/>
                <w:sz w:val="18"/>
                <w:szCs w:val="18"/>
              </w:rPr>
              <w:t>香  气</w:t>
            </w:r>
          </w:p>
        </w:tc>
        <w:tc>
          <w:tcPr>
            <w:tcW w:w="5183" w:type="dxa"/>
            <w:vAlign w:val="center"/>
          </w:tcPr>
          <w:p>
            <w:pPr>
              <w:jc w:val="center"/>
              <w:rPr>
                <w:rFonts w:ascii="宋体"/>
                <w:sz w:val="18"/>
                <w:szCs w:val="18"/>
              </w:rPr>
            </w:pPr>
            <w:r>
              <w:rPr>
                <w:rFonts w:hint="eastAsia" w:ascii="宋体" w:hAnsi="宋体"/>
                <w:sz w:val="18"/>
                <w:szCs w:val="18"/>
              </w:rPr>
              <w:t>具有本品相应之香气，</w:t>
            </w:r>
            <w:r>
              <w:rPr>
                <w:rFonts w:hint="eastAsia"/>
                <w:sz w:val="18"/>
                <w:szCs w:val="18"/>
              </w:rPr>
              <w:t>幽雅、怡悦、</w:t>
            </w:r>
            <w:r>
              <w:rPr>
                <w:rFonts w:hint="eastAsia" w:ascii="宋体" w:hAnsi="宋体"/>
                <w:sz w:val="18"/>
                <w:szCs w:val="18"/>
              </w:rPr>
              <w:t>协调柔和，无异味</w:t>
            </w:r>
          </w:p>
        </w:tc>
        <w:tc>
          <w:tcPr>
            <w:tcW w:w="153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8" w:type="dxa"/>
            <w:gridSpan w:val="2"/>
            <w:vAlign w:val="center"/>
          </w:tcPr>
          <w:p>
            <w:pPr>
              <w:jc w:val="center"/>
              <w:rPr>
                <w:rFonts w:ascii="宋体" w:hAnsi="宋体"/>
                <w:sz w:val="18"/>
                <w:szCs w:val="18"/>
              </w:rPr>
            </w:pPr>
            <w:r>
              <w:rPr>
                <w:rFonts w:hint="eastAsia" w:ascii="宋体" w:hAnsi="宋体"/>
                <w:sz w:val="18"/>
                <w:szCs w:val="18"/>
              </w:rPr>
              <w:t>口  感</w:t>
            </w:r>
          </w:p>
        </w:tc>
        <w:tc>
          <w:tcPr>
            <w:tcW w:w="5183" w:type="dxa"/>
            <w:vAlign w:val="center"/>
          </w:tcPr>
          <w:p>
            <w:pPr>
              <w:jc w:val="center"/>
              <w:rPr>
                <w:rFonts w:ascii="宋体"/>
                <w:sz w:val="18"/>
                <w:szCs w:val="18"/>
              </w:rPr>
            </w:pPr>
            <w:r>
              <w:rPr>
                <w:rFonts w:hint="eastAsia" w:ascii="宋体" w:hAnsi="宋体"/>
                <w:sz w:val="18"/>
                <w:szCs w:val="18"/>
              </w:rPr>
              <w:t>酒体醇和，</w:t>
            </w:r>
            <w:r>
              <w:rPr>
                <w:rFonts w:hint="eastAsia"/>
                <w:sz w:val="18"/>
                <w:szCs w:val="18"/>
              </w:rPr>
              <w:t>舒适谐调，净爽</w:t>
            </w:r>
          </w:p>
        </w:tc>
        <w:tc>
          <w:tcPr>
            <w:tcW w:w="153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8" w:type="dxa"/>
            <w:gridSpan w:val="2"/>
            <w:vAlign w:val="center"/>
          </w:tcPr>
          <w:p>
            <w:pPr>
              <w:jc w:val="center"/>
              <w:rPr>
                <w:rFonts w:ascii="宋体" w:hAnsi="宋体"/>
                <w:sz w:val="18"/>
                <w:szCs w:val="18"/>
              </w:rPr>
            </w:pPr>
            <w:r>
              <w:rPr>
                <w:rFonts w:hint="eastAsia" w:ascii="宋体" w:hAnsi="宋体"/>
                <w:sz w:val="18"/>
                <w:szCs w:val="18"/>
              </w:rPr>
              <w:t>风  格</w:t>
            </w:r>
          </w:p>
        </w:tc>
        <w:tc>
          <w:tcPr>
            <w:tcW w:w="5183" w:type="dxa"/>
            <w:vAlign w:val="center"/>
          </w:tcPr>
          <w:p>
            <w:pPr>
              <w:jc w:val="center"/>
              <w:rPr>
                <w:rFonts w:ascii="宋体"/>
                <w:sz w:val="18"/>
                <w:szCs w:val="18"/>
              </w:rPr>
            </w:pPr>
            <w:r>
              <w:rPr>
                <w:rFonts w:hint="eastAsia" w:ascii="宋体" w:hAnsi="宋体"/>
                <w:sz w:val="18"/>
                <w:szCs w:val="18"/>
              </w:rPr>
              <w:t>具有本品特有的风格</w:t>
            </w:r>
          </w:p>
        </w:tc>
        <w:tc>
          <w:tcPr>
            <w:tcW w:w="153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48" w:type="dxa"/>
            <w:gridSpan w:val="2"/>
            <w:vAlign w:val="center"/>
          </w:tcPr>
          <w:p>
            <w:pPr>
              <w:jc w:val="center"/>
              <w:rPr>
                <w:bCs/>
                <w:color w:val="000000"/>
                <w:sz w:val="18"/>
                <w:szCs w:val="18"/>
              </w:rPr>
            </w:pPr>
            <w:r>
              <w:rPr>
                <w:rFonts w:hint="eastAsia"/>
                <w:bCs/>
                <w:color w:val="000000"/>
                <w:sz w:val="18"/>
                <w:szCs w:val="18"/>
              </w:rPr>
              <w:t>组织状态</w:t>
            </w:r>
          </w:p>
        </w:tc>
        <w:tc>
          <w:tcPr>
            <w:tcW w:w="5183" w:type="dxa"/>
            <w:vAlign w:val="center"/>
          </w:tcPr>
          <w:p>
            <w:pPr>
              <w:jc w:val="center"/>
              <w:rPr>
                <w:bCs/>
                <w:color w:val="000000"/>
                <w:sz w:val="18"/>
                <w:szCs w:val="18"/>
              </w:rPr>
            </w:pPr>
            <w:r>
              <w:rPr>
                <w:rFonts w:hint="eastAsia" w:cs="宋体"/>
                <w:color w:val="000000"/>
                <w:kern w:val="0"/>
                <w:sz w:val="18"/>
                <w:szCs w:val="18"/>
              </w:rPr>
              <w:t>无悬浮物，</w:t>
            </w:r>
            <w:r>
              <w:rPr>
                <w:rFonts w:hint="eastAsia" w:ascii="宋体"/>
                <w:sz w:val="18"/>
                <w:szCs w:val="18"/>
              </w:rPr>
              <w:t>久置后允许有微量沉淀</w:t>
            </w:r>
          </w:p>
        </w:tc>
        <w:tc>
          <w:tcPr>
            <w:tcW w:w="1531" w:type="dxa"/>
            <w:vMerge w:val="continue"/>
            <w:vAlign w:val="center"/>
          </w:tcPr>
          <w:p>
            <w:pPr>
              <w:jc w:val="center"/>
              <w:rPr>
                <w:rFonts w:ascii="宋体" w:hAnsi="宋体"/>
                <w:sz w:val="18"/>
                <w:szCs w:val="18"/>
              </w:rPr>
            </w:pPr>
          </w:p>
        </w:tc>
      </w:tr>
    </w:tbl>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3</w:t>
      </w:r>
      <w:r>
        <w:rPr>
          <w:rFonts w:ascii="黑体" w:hAnsi="黑体" w:eastAsia="黑体" w:cs="黑体"/>
          <w:szCs w:val="21"/>
        </w:rPr>
        <w:t xml:space="preserve"> </w:t>
      </w:r>
      <w:r>
        <w:rPr>
          <w:rFonts w:hint="eastAsia" w:ascii="黑体" w:hAnsi="黑体" w:eastAsia="黑体" w:cs="黑体"/>
          <w:szCs w:val="21"/>
        </w:rPr>
        <w:t xml:space="preserve"> 理化指标</w:t>
      </w:r>
    </w:p>
    <w:p>
      <w:pPr>
        <w:pStyle w:val="3"/>
        <w:ind w:firstLine="420" w:firstLineChars="200"/>
        <w:rPr>
          <w:rFonts w:ascii="宋体" w:hAnsi="宋体"/>
          <w:sz w:val="21"/>
          <w:szCs w:val="21"/>
        </w:rPr>
      </w:pPr>
      <w:r>
        <w:rPr>
          <w:rFonts w:hint="eastAsia" w:ascii="宋体" w:hAnsi="宋体"/>
          <w:sz w:val="21"/>
          <w:szCs w:val="21"/>
        </w:rPr>
        <w:t>应符合表2的规定。</w:t>
      </w:r>
    </w:p>
    <w:p>
      <w:pPr>
        <w:spacing w:beforeLines="50" w:afterLines="50"/>
        <w:jc w:val="center"/>
        <w:rPr>
          <w:rFonts w:ascii="黑体" w:hAnsi="黑体" w:eastAsia="黑体" w:cs="黑体"/>
          <w:szCs w:val="21"/>
        </w:rPr>
      </w:pPr>
      <w:r>
        <w:rPr>
          <w:rFonts w:hint="eastAsia" w:ascii="黑体" w:hAnsi="黑体" w:eastAsia="黑体" w:cs="黑体"/>
          <w:szCs w:val="21"/>
        </w:rPr>
        <w:t>表2</w:t>
      </w:r>
    </w:p>
    <w:tbl>
      <w:tblPr>
        <w:tblStyle w:val="10"/>
        <w:tblW w:w="9492"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566"/>
        <w:gridCol w:w="1989"/>
        <w:gridCol w:w="205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op w:val="single" w:color="auto" w:sz="4" w:space="0"/>
            </w:tcBorders>
            <w:vAlign w:val="center"/>
          </w:tcPr>
          <w:p>
            <w:pPr>
              <w:jc w:val="center"/>
              <w:rPr>
                <w:rFonts w:ascii="宋体" w:hAnsi="宋体"/>
                <w:sz w:val="18"/>
                <w:szCs w:val="18"/>
              </w:rPr>
            </w:pPr>
            <w:r>
              <w:rPr>
                <w:rFonts w:hint="eastAsia" w:ascii="宋体" w:hAnsi="宋体"/>
                <w:sz w:val="18"/>
                <w:szCs w:val="18"/>
              </w:rPr>
              <w:t>项  目</w:t>
            </w:r>
          </w:p>
        </w:tc>
        <w:tc>
          <w:tcPr>
            <w:tcW w:w="1989" w:type="dxa"/>
            <w:tcBorders>
              <w:top w:val="single" w:color="auto" w:sz="4" w:space="0"/>
            </w:tcBorders>
            <w:vAlign w:val="center"/>
          </w:tcPr>
          <w:p>
            <w:pPr>
              <w:jc w:val="center"/>
              <w:rPr>
                <w:rFonts w:ascii="宋体"/>
                <w:sz w:val="18"/>
                <w:szCs w:val="18"/>
              </w:rPr>
            </w:pPr>
            <w:r>
              <w:rPr>
                <w:rFonts w:hint="eastAsia" w:ascii="宋体" w:hAnsi="宋体"/>
                <w:sz w:val="18"/>
                <w:szCs w:val="18"/>
              </w:rPr>
              <w:t>指标</w:t>
            </w:r>
          </w:p>
        </w:tc>
        <w:tc>
          <w:tcPr>
            <w:tcW w:w="2051"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检测方法</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sz w:val="18"/>
                <w:szCs w:val="18"/>
              </w:rPr>
            </w:pPr>
            <w:r>
              <w:rPr>
                <w:rFonts w:hint="eastAsia" w:ascii="宋体" w:hAnsi="宋体"/>
                <w:sz w:val="18"/>
                <w:szCs w:val="18"/>
              </w:rPr>
              <w:t>酒精度</w:t>
            </w:r>
            <w:r>
              <w:rPr>
                <w:rFonts w:ascii="宋体" w:hAnsi="宋体"/>
                <w:sz w:val="18"/>
                <w:szCs w:val="18"/>
                <w:vertAlign w:val="superscript"/>
              </w:rPr>
              <w:t>a</w:t>
            </w:r>
            <w:r>
              <w:rPr>
                <w:rFonts w:hint="eastAsia" w:ascii="宋体" w:hAnsi="宋体"/>
                <w:sz w:val="18"/>
                <w:szCs w:val="18"/>
              </w:rPr>
              <w:t>（</w:t>
            </w:r>
            <w:r>
              <w:rPr>
                <w:rFonts w:ascii="宋体" w:hAnsi="宋体"/>
                <w:sz w:val="18"/>
                <w:szCs w:val="18"/>
              </w:rPr>
              <w:t>20</w:t>
            </w:r>
            <w:r>
              <w:rPr>
                <w:rFonts w:hint="eastAsia" w:ascii="宋体" w:hAnsi="宋体"/>
                <w:sz w:val="18"/>
                <w:szCs w:val="18"/>
              </w:rPr>
              <w:t>℃）</w:t>
            </w:r>
            <w:r>
              <w:rPr>
                <w:rFonts w:ascii="宋体" w:hAnsi="宋体"/>
                <w:sz w:val="18"/>
                <w:szCs w:val="18"/>
              </w:rPr>
              <w:t>/%vol</w:t>
            </w:r>
          </w:p>
        </w:tc>
        <w:tc>
          <w:tcPr>
            <w:tcW w:w="1989" w:type="dxa"/>
            <w:tcBorders>
              <w:tl2br w:val="nil"/>
              <w:tr2bl w:val="nil"/>
            </w:tcBorders>
            <w:vAlign w:val="center"/>
          </w:tcPr>
          <w:p>
            <w:pPr>
              <w:jc w:val="center"/>
              <w:rPr>
                <w:rFonts w:ascii="宋体" w:hAnsi="宋体"/>
                <w:sz w:val="18"/>
                <w:szCs w:val="18"/>
              </w:rPr>
            </w:pPr>
            <w:r>
              <w:rPr>
                <w:rFonts w:hint="eastAsia" w:ascii="宋体" w:hAnsi="宋体"/>
                <w:sz w:val="18"/>
                <w:szCs w:val="18"/>
              </w:rPr>
              <w:t>4-30</w:t>
            </w:r>
          </w:p>
        </w:tc>
        <w:tc>
          <w:tcPr>
            <w:tcW w:w="2051" w:type="dxa"/>
            <w:tcBorders>
              <w:tl2br w:val="nil"/>
              <w:tr2bl w:val="nil"/>
            </w:tcBorders>
            <w:vAlign w:val="center"/>
          </w:tcPr>
          <w:p>
            <w:pPr>
              <w:jc w:val="center"/>
              <w:rPr>
                <w:rFonts w:ascii="宋体" w:hAnsi="宋体"/>
                <w:sz w:val="18"/>
                <w:szCs w:val="18"/>
              </w:rPr>
            </w:pPr>
            <w:r>
              <w:rPr>
                <w:rFonts w:hint="eastAsia" w:ascii="宋体" w:hAnsi="宋体"/>
                <w:sz w:val="18"/>
                <w:szCs w:val="18"/>
              </w:rPr>
              <w:t>GB 5009.225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sz w:val="18"/>
                <w:szCs w:val="18"/>
              </w:rPr>
            </w:pPr>
            <w:r>
              <w:rPr>
                <w:rFonts w:hint="eastAsia" w:ascii="宋体" w:hAnsi="宋体"/>
                <w:sz w:val="18"/>
                <w:szCs w:val="18"/>
              </w:rPr>
              <w:t>总糖（以葡萄糖计）</w:t>
            </w:r>
            <w:r>
              <w:rPr>
                <w:rFonts w:ascii="宋体" w:hAnsi="宋体"/>
                <w:sz w:val="18"/>
                <w:szCs w:val="18"/>
              </w:rPr>
              <w:t>/</w:t>
            </w:r>
            <w:r>
              <w:rPr>
                <w:rFonts w:hint="eastAsia" w:ascii="宋体" w:hAnsi="宋体"/>
                <w:sz w:val="18"/>
                <w:szCs w:val="18"/>
              </w:rPr>
              <w:t>（</w:t>
            </w:r>
            <w:r>
              <w:rPr>
                <w:rFonts w:ascii="宋体" w:hAnsi="宋体"/>
                <w:sz w:val="18"/>
                <w:szCs w:val="18"/>
              </w:rPr>
              <w:t>g/L</w:t>
            </w:r>
            <w:r>
              <w:rPr>
                <w:rFonts w:hint="eastAsia" w:ascii="宋体" w:hAnsi="宋体"/>
                <w:sz w:val="18"/>
                <w:szCs w:val="18"/>
              </w:rPr>
              <w:t xml:space="preserve">）                              </w:t>
            </w:r>
          </w:p>
        </w:tc>
        <w:tc>
          <w:tcPr>
            <w:tcW w:w="1989" w:type="dxa"/>
            <w:tcBorders>
              <w:tl2br w:val="nil"/>
              <w:tr2bl w:val="nil"/>
            </w:tcBorders>
            <w:vAlign w:val="center"/>
          </w:tcPr>
          <w:p>
            <w:pPr>
              <w:jc w:val="center"/>
              <w:rPr>
                <w:rFonts w:ascii="宋体" w:hAnsi="宋体"/>
                <w:sz w:val="18"/>
                <w:szCs w:val="18"/>
              </w:rPr>
            </w:pPr>
            <w:r>
              <w:rPr>
                <w:rFonts w:hint="eastAsia" w:ascii="宋体" w:hAnsi="宋体"/>
                <w:sz w:val="18"/>
                <w:szCs w:val="18"/>
              </w:rPr>
              <w:t>≤280</w:t>
            </w:r>
          </w:p>
        </w:tc>
        <w:tc>
          <w:tcPr>
            <w:tcW w:w="2051" w:type="dxa"/>
            <w:vMerge w:val="restart"/>
            <w:tcBorders>
              <w:tl2br w:val="nil"/>
              <w:tr2bl w:val="nil"/>
            </w:tcBorders>
            <w:vAlign w:val="center"/>
          </w:tcPr>
          <w:p>
            <w:pPr>
              <w:jc w:val="center"/>
              <w:rPr>
                <w:rFonts w:ascii="宋体" w:hAnsi="宋体"/>
                <w:sz w:val="18"/>
                <w:szCs w:val="18"/>
              </w:rPr>
            </w:pPr>
            <w:r>
              <w:rPr>
                <w:rFonts w:hint="eastAsia" w:ascii="宋体" w:hAnsi="宋体"/>
                <w:sz w:val="18"/>
                <w:szCs w:val="18"/>
              </w:rPr>
              <w:t>GB/T 15038</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6" w:type="dxa"/>
            <w:vMerge w:val="restart"/>
            <w:tcBorders>
              <w:tl2br w:val="nil"/>
              <w:tr2bl w:val="nil"/>
            </w:tcBorders>
            <w:vAlign w:val="center"/>
          </w:tcPr>
          <w:p>
            <w:pPr>
              <w:rPr>
                <w:rFonts w:ascii="宋体"/>
                <w:sz w:val="18"/>
                <w:szCs w:val="18"/>
              </w:rPr>
            </w:pPr>
            <w:r>
              <w:rPr>
                <w:rFonts w:hint="eastAsia" w:ascii="宋体" w:hAnsi="宋体"/>
                <w:sz w:val="18"/>
                <w:szCs w:val="18"/>
              </w:rPr>
              <w:t>总酸（以乙酸计）</w:t>
            </w:r>
            <w:r>
              <w:rPr>
                <w:rFonts w:ascii="宋体" w:hAnsi="宋体"/>
                <w:sz w:val="18"/>
                <w:szCs w:val="18"/>
              </w:rPr>
              <w:t>/</w:t>
            </w:r>
            <w:r>
              <w:rPr>
                <w:rFonts w:hint="eastAsia" w:ascii="宋体" w:hAnsi="宋体"/>
                <w:sz w:val="18"/>
                <w:szCs w:val="18"/>
              </w:rPr>
              <w:t>（</w:t>
            </w:r>
            <w:r>
              <w:rPr>
                <w:rFonts w:ascii="宋体" w:hAnsi="宋体"/>
                <w:sz w:val="18"/>
                <w:szCs w:val="18"/>
              </w:rPr>
              <w:t>g/L</w:t>
            </w:r>
            <w:r>
              <w:rPr>
                <w:rFonts w:hint="eastAsia" w:ascii="宋体" w:hAnsi="宋体"/>
                <w:sz w:val="18"/>
                <w:szCs w:val="18"/>
              </w:rPr>
              <w:t>）</w:t>
            </w:r>
          </w:p>
        </w:tc>
        <w:tc>
          <w:tcPr>
            <w:tcW w:w="2566" w:type="dxa"/>
            <w:tcBorders>
              <w:tl2br w:val="nil"/>
              <w:tr2bl w:val="nil"/>
            </w:tcBorders>
            <w:vAlign w:val="center"/>
          </w:tcPr>
          <w:p>
            <w:pPr>
              <w:jc w:val="center"/>
              <w:rPr>
                <w:rFonts w:ascii="宋体" w:hAnsi="宋体"/>
                <w:sz w:val="18"/>
                <w:szCs w:val="18"/>
              </w:rPr>
            </w:pPr>
            <w:r>
              <w:rPr>
                <w:rFonts w:hint="eastAsia" w:ascii="宋体" w:hAnsi="宋体"/>
                <w:sz w:val="18"/>
                <w:szCs w:val="18"/>
              </w:rPr>
              <w:t>蒸馏酒、食用酒精为酒基</w:t>
            </w:r>
          </w:p>
        </w:tc>
        <w:tc>
          <w:tcPr>
            <w:tcW w:w="1989" w:type="dxa"/>
            <w:tcBorders>
              <w:tl2br w:val="nil"/>
              <w:tr2bl w:val="nil"/>
            </w:tcBorders>
            <w:vAlign w:val="center"/>
          </w:tcPr>
          <w:p>
            <w:pPr>
              <w:jc w:val="center"/>
              <w:rPr>
                <w:rFonts w:ascii="宋体" w:hAnsi="宋体"/>
                <w:sz w:val="18"/>
                <w:szCs w:val="18"/>
              </w:rPr>
            </w:pPr>
            <w:r>
              <w:rPr>
                <w:rFonts w:hint="eastAsia" w:ascii="宋体" w:hAnsi="宋体"/>
                <w:sz w:val="18"/>
                <w:szCs w:val="18"/>
              </w:rPr>
              <w:t>≤6.00</w:t>
            </w:r>
          </w:p>
        </w:tc>
        <w:tc>
          <w:tcPr>
            <w:tcW w:w="2051" w:type="dxa"/>
            <w:vMerge w:val="continue"/>
            <w:tcBorders>
              <w:tl2br w:val="nil"/>
              <w:tr2bl w:val="nil"/>
            </w:tcBorders>
            <w:vAlign w:val="center"/>
          </w:tcPr>
          <w:p>
            <w:pPr>
              <w:jc w:val="center"/>
              <w:rPr>
                <w:rFonts w:ascii="宋体" w:hAnsi="宋体"/>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86" w:type="dxa"/>
            <w:vMerge w:val="continue"/>
            <w:tcBorders>
              <w:tl2br w:val="nil"/>
              <w:tr2bl w:val="nil"/>
            </w:tcBorders>
            <w:vAlign w:val="center"/>
          </w:tcPr>
          <w:p>
            <w:pPr>
              <w:rPr>
                <w:rFonts w:ascii="宋体" w:hAnsi="宋体"/>
                <w:sz w:val="18"/>
                <w:szCs w:val="18"/>
              </w:rPr>
            </w:pPr>
          </w:p>
        </w:tc>
        <w:tc>
          <w:tcPr>
            <w:tcW w:w="2566" w:type="dxa"/>
            <w:tcBorders>
              <w:tl2br w:val="nil"/>
              <w:tr2bl w:val="nil"/>
            </w:tcBorders>
            <w:vAlign w:val="center"/>
          </w:tcPr>
          <w:p>
            <w:pPr>
              <w:jc w:val="center"/>
              <w:rPr>
                <w:rFonts w:ascii="宋体" w:hAnsi="宋体"/>
                <w:sz w:val="18"/>
                <w:szCs w:val="18"/>
              </w:rPr>
            </w:pPr>
            <w:r>
              <w:rPr>
                <w:rFonts w:hint="eastAsia" w:ascii="宋体" w:hAnsi="宋体"/>
                <w:sz w:val="18"/>
                <w:szCs w:val="18"/>
              </w:rPr>
              <w:t>发酵酒为酒基</w:t>
            </w:r>
          </w:p>
        </w:tc>
        <w:tc>
          <w:tcPr>
            <w:tcW w:w="1989" w:type="dxa"/>
            <w:tcBorders>
              <w:tl2br w:val="nil"/>
              <w:tr2bl w:val="nil"/>
            </w:tcBorders>
            <w:vAlign w:val="center"/>
          </w:tcPr>
          <w:p>
            <w:pPr>
              <w:jc w:val="center"/>
              <w:rPr>
                <w:rFonts w:ascii="宋体" w:hAnsi="宋体"/>
                <w:sz w:val="18"/>
                <w:szCs w:val="18"/>
              </w:rPr>
            </w:pPr>
            <w:r>
              <w:rPr>
                <w:rFonts w:hint="eastAsia" w:ascii="宋体" w:hAnsi="宋体" w:cs="宋体"/>
                <w:sz w:val="18"/>
                <w:szCs w:val="18"/>
              </w:rPr>
              <w:t>≥</w:t>
            </w:r>
            <w:r>
              <w:rPr>
                <w:rFonts w:hint="eastAsia" w:ascii="宋体" w:hAnsi="宋体"/>
                <w:sz w:val="18"/>
                <w:szCs w:val="18"/>
              </w:rPr>
              <w:t>4.00</w:t>
            </w:r>
          </w:p>
        </w:tc>
        <w:tc>
          <w:tcPr>
            <w:tcW w:w="2051" w:type="dxa"/>
            <w:vMerge w:val="continue"/>
            <w:tcBorders>
              <w:tl2br w:val="nil"/>
              <w:tr2bl w:val="nil"/>
            </w:tcBorders>
            <w:vAlign w:val="center"/>
          </w:tcPr>
          <w:p>
            <w:pPr>
              <w:jc w:val="center"/>
              <w:rPr>
                <w:rFonts w:ascii="宋体" w:hAnsi="宋体"/>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cs="宋体"/>
                <w:sz w:val="18"/>
                <w:szCs w:val="18"/>
              </w:rPr>
            </w:pPr>
            <w:r>
              <w:rPr>
                <w:rFonts w:hint="eastAsia" w:ascii="宋体" w:hAnsi="宋体" w:cs="宋体"/>
                <w:sz w:val="18"/>
                <w:szCs w:val="18"/>
              </w:rPr>
              <w:t>挥发酸</w:t>
            </w:r>
            <w:r>
              <w:rPr>
                <w:rFonts w:hint="eastAsia" w:ascii="宋体" w:hAnsi="宋体" w:cs="宋体"/>
                <w:sz w:val="18"/>
                <w:szCs w:val="18"/>
                <w:vertAlign w:val="superscript"/>
              </w:rPr>
              <w:t>b</w:t>
            </w:r>
            <w:r>
              <w:rPr>
                <w:rFonts w:hint="eastAsia" w:ascii="宋体" w:hAnsi="宋体" w:cs="宋体"/>
                <w:sz w:val="18"/>
                <w:szCs w:val="18"/>
              </w:rPr>
              <w:t>（以乙酸计）/</w:t>
            </w:r>
            <w:r>
              <w:rPr>
                <w:rFonts w:hint="eastAsia" w:ascii="宋体" w:hAnsi="宋体"/>
                <w:sz w:val="18"/>
                <w:szCs w:val="18"/>
              </w:rPr>
              <w:t>（</w:t>
            </w:r>
            <w:r>
              <w:rPr>
                <w:rFonts w:ascii="宋体" w:hAnsi="宋体"/>
                <w:sz w:val="18"/>
                <w:szCs w:val="18"/>
              </w:rPr>
              <w:t>g/L</w:t>
            </w:r>
            <w:r>
              <w:rPr>
                <w:rFonts w:hint="eastAsia" w:ascii="宋体" w:hAnsi="宋体"/>
                <w:sz w:val="18"/>
                <w:szCs w:val="18"/>
              </w:rPr>
              <w:t xml:space="preserve">）                            </w:t>
            </w:r>
          </w:p>
        </w:tc>
        <w:tc>
          <w:tcPr>
            <w:tcW w:w="1989" w:type="dxa"/>
            <w:tcBorders>
              <w:tl2br w:val="nil"/>
              <w:tr2bl w:val="nil"/>
            </w:tcBorders>
            <w:vAlign w:val="center"/>
          </w:tcPr>
          <w:p>
            <w:pPr>
              <w:jc w:val="center"/>
              <w:rPr>
                <w:rFonts w:ascii="宋体" w:hAnsi="宋体"/>
                <w:sz w:val="18"/>
                <w:szCs w:val="18"/>
              </w:rPr>
            </w:pPr>
            <w:r>
              <w:rPr>
                <w:rFonts w:hint="eastAsia" w:ascii="宋体" w:hAnsi="宋体"/>
                <w:sz w:val="18"/>
                <w:szCs w:val="18"/>
              </w:rPr>
              <w:t>≤1.2</w:t>
            </w:r>
          </w:p>
        </w:tc>
        <w:tc>
          <w:tcPr>
            <w:tcW w:w="2051" w:type="dxa"/>
            <w:vMerge w:val="continue"/>
            <w:tcBorders>
              <w:tl2br w:val="nil"/>
              <w:tr2bl w:val="nil"/>
            </w:tcBorders>
            <w:vAlign w:val="center"/>
          </w:tcPr>
          <w:p>
            <w:pPr>
              <w:jc w:val="center"/>
              <w:rPr>
                <w:rFonts w:ascii="宋体" w:hAnsi="宋体"/>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cs="宋体"/>
                <w:sz w:val="18"/>
                <w:szCs w:val="18"/>
              </w:rPr>
            </w:pPr>
            <w:r>
              <w:rPr>
                <w:rFonts w:hint="eastAsia" w:ascii="宋体" w:hAnsi="宋体" w:cs="宋体"/>
                <w:sz w:val="18"/>
                <w:szCs w:val="18"/>
              </w:rPr>
              <w:t>干浸出物</w:t>
            </w:r>
            <w:r>
              <w:rPr>
                <w:rFonts w:ascii="宋体" w:hAnsi="宋体" w:cs="宋体"/>
                <w:sz w:val="18"/>
                <w:szCs w:val="18"/>
              </w:rPr>
              <w:t xml:space="preserve">/(g/L) </w:t>
            </w:r>
            <w:r>
              <w:rPr>
                <w:rFonts w:hint="eastAsia" w:ascii="宋体" w:hAnsi="宋体" w:cs="宋体"/>
                <w:sz w:val="18"/>
                <w:szCs w:val="18"/>
              </w:rPr>
              <w:t xml:space="preserve">                                       </w:t>
            </w:r>
            <w:r>
              <w:rPr>
                <w:rFonts w:ascii="宋体" w:hAnsi="宋体" w:cs="宋体"/>
                <w:sz w:val="18"/>
                <w:szCs w:val="18"/>
              </w:rPr>
              <w:t xml:space="preserve"> </w:t>
            </w:r>
          </w:p>
        </w:tc>
        <w:tc>
          <w:tcPr>
            <w:tcW w:w="1989" w:type="dxa"/>
            <w:tcBorders>
              <w:tl2br w:val="nil"/>
              <w:tr2bl w:val="nil"/>
            </w:tcBorders>
            <w:vAlign w:val="center"/>
          </w:tcPr>
          <w:p>
            <w:pPr>
              <w:jc w:val="center"/>
              <w:rPr>
                <w:rFonts w:ascii="宋体" w:hAnsi="宋体"/>
                <w:sz w:val="18"/>
                <w:szCs w:val="18"/>
              </w:rPr>
            </w:pPr>
            <w:r>
              <w:rPr>
                <w:rFonts w:hint="eastAsia" w:ascii="宋体" w:hAnsi="宋体" w:cs="宋体"/>
                <w:sz w:val="18"/>
                <w:szCs w:val="18"/>
              </w:rPr>
              <w:t>≥</w:t>
            </w:r>
            <w:r>
              <w:rPr>
                <w:rFonts w:hint="eastAsia" w:ascii="宋体" w:hAnsi="宋体"/>
                <w:sz w:val="18"/>
                <w:szCs w:val="18"/>
              </w:rPr>
              <w:t>0.30</w:t>
            </w:r>
          </w:p>
        </w:tc>
        <w:tc>
          <w:tcPr>
            <w:tcW w:w="2051" w:type="dxa"/>
            <w:vMerge w:val="continue"/>
            <w:tcBorders>
              <w:tl2br w:val="nil"/>
              <w:tr2bl w:val="nil"/>
            </w:tcBorders>
            <w:vAlign w:val="center"/>
          </w:tcPr>
          <w:p>
            <w:pPr>
              <w:jc w:val="center"/>
              <w:rPr>
                <w:rFonts w:ascii="宋体" w:hAnsi="宋体"/>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cs="宋体"/>
                <w:sz w:val="18"/>
                <w:szCs w:val="18"/>
              </w:rPr>
            </w:pPr>
            <w:r>
              <w:rPr>
                <w:rFonts w:hint="eastAsia" w:ascii="宋体" w:hAnsi="宋体" w:cs="宋体"/>
                <w:sz w:val="18"/>
                <w:szCs w:val="18"/>
              </w:rPr>
              <w:t>甲醇</w:t>
            </w:r>
            <w:r>
              <w:rPr>
                <w:rFonts w:hint="eastAsia" w:ascii="宋体" w:hAnsi="宋体" w:cs="宋体"/>
                <w:sz w:val="18"/>
                <w:szCs w:val="18"/>
                <w:vertAlign w:val="superscript"/>
              </w:rPr>
              <w:t>c</w:t>
            </w:r>
            <w:r>
              <w:rPr>
                <w:rFonts w:hint="eastAsia" w:ascii="宋体" w:hAnsi="宋体" w:cs="宋体"/>
                <w:sz w:val="18"/>
                <w:szCs w:val="18"/>
              </w:rPr>
              <w:t xml:space="preserve">/(g/L)                                             </w:t>
            </w:r>
          </w:p>
        </w:tc>
        <w:tc>
          <w:tcPr>
            <w:tcW w:w="198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≤2.0</w:t>
            </w:r>
          </w:p>
        </w:tc>
        <w:tc>
          <w:tcPr>
            <w:tcW w:w="2051" w:type="dxa"/>
            <w:tcBorders>
              <w:tl2br w:val="nil"/>
              <w:tr2bl w:val="nil"/>
            </w:tcBorders>
            <w:vAlign w:val="center"/>
          </w:tcPr>
          <w:p>
            <w:pPr>
              <w:jc w:val="center"/>
              <w:rPr>
                <w:rFonts w:ascii="宋体" w:hAnsi="宋体"/>
                <w:sz w:val="18"/>
                <w:szCs w:val="18"/>
              </w:rPr>
            </w:pPr>
            <w:r>
              <w:rPr>
                <w:rFonts w:hint="eastAsia" w:ascii="宋体" w:hAnsi="宋体"/>
                <w:sz w:val="18"/>
                <w:szCs w:val="18"/>
              </w:rPr>
              <w:t>GB 5009.266</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cs="宋体"/>
                <w:sz w:val="18"/>
                <w:szCs w:val="18"/>
              </w:rPr>
            </w:pPr>
            <w:r>
              <w:rPr>
                <w:rFonts w:ascii="宋体" w:hAnsi="宋体" w:cs="宋体"/>
                <w:sz w:val="18"/>
                <w:szCs w:val="18"/>
              </w:rPr>
              <w:t>氰化物</w:t>
            </w:r>
            <w:r>
              <w:rPr>
                <w:rFonts w:hint="eastAsia" w:ascii="宋体" w:hAnsi="宋体" w:cs="宋体"/>
                <w:sz w:val="18"/>
                <w:szCs w:val="18"/>
                <w:vertAlign w:val="superscript"/>
              </w:rPr>
              <w:t>c</w:t>
            </w:r>
            <w:r>
              <w:rPr>
                <w:rFonts w:ascii="宋体" w:hAnsi="宋体" w:cs="宋体"/>
                <w:sz w:val="18"/>
                <w:szCs w:val="18"/>
              </w:rPr>
              <w:t>（以HCN计）/(mg/L</w:t>
            </w:r>
            <w:r>
              <w:rPr>
                <w:rFonts w:hint="eastAsia" w:ascii="宋体" w:hAnsi="宋体" w:cs="宋体"/>
                <w:sz w:val="18"/>
                <w:szCs w:val="18"/>
              </w:rPr>
              <w:t xml:space="preserve">）                             </w:t>
            </w:r>
          </w:p>
        </w:tc>
        <w:tc>
          <w:tcPr>
            <w:tcW w:w="1989" w:type="dxa"/>
            <w:tcBorders>
              <w:tl2br w:val="nil"/>
              <w:tr2bl w:val="nil"/>
            </w:tcBorders>
            <w:vAlign w:val="center"/>
          </w:tcPr>
          <w:p>
            <w:pPr>
              <w:jc w:val="center"/>
              <w:rPr>
                <w:rFonts w:ascii="宋体" w:hAnsi="宋体" w:cs="宋体"/>
                <w:sz w:val="18"/>
                <w:szCs w:val="18"/>
              </w:rPr>
            </w:pPr>
            <w:r>
              <w:rPr>
                <w:rFonts w:hint="eastAsia" w:ascii="宋体" w:hAnsi="宋体"/>
                <w:sz w:val="18"/>
                <w:szCs w:val="18"/>
              </w:rPr>
              <w:t>≤</w:t>
            </w:r>
            <w:r>
              <w:rPr>
                <w:rFonts w:hint="eastAsia" w:ascii="宋体" w:hAnsi="宋体" w:cs="宋体"/>
                <w:sz w:val="18"/>
                <w:szCs w:val="18"/>
              </w:rPr>
              <w:t>8.0</w:t>
            </w:r>
          </w:p>
        </w:tc>
        <w:tc>
          <w:tcPr>
            <w:tcW w:w="2051" w:type="dxa"/>
            <w:tcBorders>
              <w:tl2br w:val="nil"/>
              <w:tr2bl w:val="nil"/>
            </w:tcBorders>
            <w:vAlign w:val="center"/>
          </w:tcPr>
          <w:p>
            <w:pPr>
              <w:jc w:val="center"/>
              <w:rPr>
                <w:rFonts w:ascii="宋体" w:hAnsi="宋体"/>
                <w:sz w:val="18"/>
                <w:szCs w:val="18"/>
              </w:rPr>
            </w:pPr>
            <w:r>
              <w:rPr>
                <w:rFonts w:hint="eastAsia" w:ascii="宋体" w:hAnsi="宋体"/>
                <w:sz w:val="18"/>
                <w:szCs w:val="18"/>
              </w:rPr>
              <w:t>GB 5009.36</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2" w:type="dxa"/>
            <w:gridSpan w:val="2"/>
            <w:tcBorders>
              <w:tl2br w:val="nil"/>
              <w:tr2bl w:val="nil"/>
            </w:tcBorders>
            <w:vAlign w:val="center"/>
          </w:tcPr>
          <w:p>
            <w:pPr>
              <w:rPr>
                <w:rFonts w:ascii="宋体" w:hAnsi="宋体" w:cs="宋体"/>
                <w:sz w:val="18"/>
                <w:szCs w:val="18"/>
              </w:rPr>
            </w:pPr>
            <w:r>
              <w:rPr>
                <w:rFonts w:hint="eastAsia" w:ascii="宋体" w:hAnsi="宋体" w:cs="宋体"/>
                <w:sz w:val="18"/>
                <w:szCs w:val="18"/>
              </w:rPr>
              <w:t xml:space="preserve">铅 </w:t>
            </w:r>
            <w:r>
              <w:rPr>
                <w:rFonts w:ascii="宋体" w:hAnsi="宋体" w:cs="宋体"/>
                <w:sz w:val="18"/>
                <w:szCs w:val="18"/>
              </w:rPr>
              <w:t>（以</w:t>
            </w:r>
            <w:r>
              <w:rPr>
                <w:rFonts w:hint="eastAsia" w:ascii="宋体" w:hAnsi="宋体" w:cs="宋体"/>
                <w:sz w:val="18"/>
                <w:szCs w:val="18"/>
              </w:rPr>
              <w:t>Pb</w:t>
            </w:r>
            <w:r>
              <w:rPr>
                <w:rFonts w:ascii="宋体" w:hAnsi="宋体" w:cs="宋体"/>
                <w:sz w:val="18"/>
                <w:szCs w:val="18"/>
              </w:rPr>
              <w:t>计）/(mg/</w:t>
            </w:r>
            <w:r>
              <w:rPr>
                <w:rFonts w:hint="eastAsia" w:ascii="宋体" w:hAnsi="宋体" w:cs="宋体"/>
                <w:sz w:val="18"/>
                <w:szCs w:val="18"/>
              </w:rPr>
              <w:t xml:space="preserve">kg）                                                                </w:t>
            </w:r>
          </w:p>
        </w:tc>
        <w:tc>
          <w:tcPr>
            <w:tcW w:w="198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≤0.18</w:t>
            </w:r>
          </w:p>
        </w:tc>
        <w:tc>
          <w:tcPr>
            <w:tcW w:w="2051" w:type="dxa"/>
            <w:tcBorders>
              <w:tl2br w:val="nil"/>
              <w:tr2bl w:val="nil"/>
            </w:tcBorders>
            <w:vAlign w:val="center"/>
          </w:tcPr>
          <w:p>
            <w:pPr>
              <w:jc w:val="center"/>
              <w:rPr>
                <w:rFonts w:ascii="宋体" w:hAnsi="宋体"/>
                <w:sz w:val="18"/>
                <w:szCs w:val="18"/>
              </w:rPr>
            </w:pPr>
            <w:r>
              <w:rPr>
                <w:rFonts w:hint="eastAsia" w:ascii="宋体" w:hAnsi="宋体"/>
                <w:sz w:val="18"/>
                <w:szCs w:val="18"/>
              </w:rPr>
              <w:t>GB 5009.12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2" w:type="dxa"/>
            <w:gridSpan w:val="4"/>
            <w:tcBorders>
              <w:tl2br w:val="nil"/>
              <w:tr2bl w:val="nil"/>
            </w:tcBorders>
            <w:vAlign w:val="center"/>
          </w:tcPr>
          <w:p>
            <w:pPr>
              <w:rPr>
                <w:rFonts w:ascii="宋体" w:hAnsi="宋体"/>
                <w:sz w:val="18"/>
                <w:szCs w:val="18"/>
              </w:rPr>
            </w:pPr>
            <w:r>
              <w:rPr>
                <w:rFonts w:ascii="宋体" w:hAnsi="宋体"/>
                <w:sz w:val="18"/>
                <w:szCs w:val="18"/>
              </w:rPr>
              <w:t>注：</w:t>
            </w:r>
            <w:r>
              <w:rPr>
                <w:rFonts w:ascii="宋体" w:hAnsi="宋体"/>
                <w:sz w:val="18"/>
                <w:szCs w:val="18"/>
                <w:vertAlign w:val="superscript"/>
              </w:rPr>
              <w:t>a</w:t>
            </w:r>
            <w:r>
              <w:rPr>
                <w:rFonts w:hint="eastAsia" w:ascii="宋体" w:hAnsi="宋体"/>
                <w:sz w:val="18"/>
                <w:szCs w:val="18"/>
              </w:rPr>
              <w:t>酒精度标签标示值与实测值允许误差为±</w:t>
            </w:r>
            <w:r>
              <w:rPr>
                <w:rFonts w:ascii="宋体" w:hAnsi="宋体"/>
                <w:sz w:val="18"/>
                <w:szCs w:val="18"/>
              </w:rPr>
              <w:t>1.0%vol</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vertAlign w:val="superscript"/>
              </w:rPr>
              <w:t>b</w:t>
            </w:r>
            <w:r>
              <w:rPr>
                <w:rFonts w:hint="eastAsia" w:ascii="宋体" w:hAnsi="宋体"/>
                <w:sz w:val="18"/>
                <w:szCs w:val="18"/>
              </w:rPr>
              <w:t>挥发酸适用于以发酵酒为酒基的蓝莓酒。</w:t>
            </w:r>
          </w:p>
          <w:p>
            <w:pPr>
              <w:ind w:firstLine="360" w:firstLineChars="200"/>
              <w:rPr>
                <w:rFonts w:ascii="宋体" w:hAnsi="宋体"/>
                <w:sz w:val="18"/>
                <w:szCs w:val="18"/>
              </w:rPr>
            </w:pPr>
            <w:r>
              <w:rPr>
                <w:rFonts w:hint="eastAsia" w:ascii="宋体" w:hAnsi="宋体"/>
                <w:sz w:val="18"/>
                <w:szCs w:val="18"/>
                <w:vertAlign w:val="superscript"/>
              </w:rPr>
              <w:t>c</w:t>
            </w:r>
            <w:r>
              <w:rPr>
                <w:rFonts w:ascii="宋体" w:hAnsi="宋体"/>
                <w:sz w:val="18"/>
                <w:szCs w:val="18"/>
              </w:rPr>
              <w:t>甲醇、氰化物指标均按100％酒精度折算</w:t>
            </w:r>
            <w:r>
              <w:rPr>
                <w:rFonts w:hint="eastAsia" w:ascii="宋体" w:hAnsi="宋体"/>
                <w:sz w:val="18"/>
                <w:szCs w:val="18"/>
              </w:rPr>
              <w:t>。</w:t>
            </w:r>
          </w:p>
        </w:tc>
      </w:tr>
    </w:tbl>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4  净含量</w:t>
      </w:r>
    </w:p>
    <w:p>
      <w:pPr>
        <w:ind w:firstLine="420" w:firstLineChars="200"/>
      </w:pPr>
      <w:r>
        <w:rPr>
          <w:rFonts w:hint="eastAsia" w:ascii="宋体" w:hAnsi="宋体"/>
          <w:szCs w:val="21"/>
        </w:rPr>
        <w:t>应符合《定量包装商品计量监督管理办法》的规定，</w:t>
      </w:r>
      <w:r>
        <w:rPr>
          <w:rFonts w:hint="eastAsia" w:ascii="宋体" w:hAnsi="宋体"/>
          <w:bCs/>
          <w:szCs w:val="21"/>
        </w:rPr>
        <w:t>按JJF1070规定的方法进行检测</w:t>
      </w:r>
      <w:r>
        <w:rPr>
          <w:rFonts w:hint="eastAsia" w:ascii="宋体" w:hAnsi="宋体"/>
          <w:szCs w:val="21"/>
        </w:rPr>
        <w:t>。</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5  食品添加剂</w:t>
      </w:r>
    </w:p>
    <w:p>
      <w:pPr>
        <w:ind w:firstLine="420" w:firstLineChars="200"/>
        <w:rPr>
          <w:rFonts w:ascii="黑体" w:hAnsi="黑体" w:cs="黑体"/>
          <w:szCs w:val="21"/>
        </w:rPr>
      </w:pPr>
      <w:r>
        <w:rPr>
          <w:rFonts w:hint="eastAsia" w:ascii="宋体" w:hAnsi="宋体"/>
          <w:szCs w:val="21"/>
        </w:rPr>
        <w:t>应符合GB 2760的规定。</w:t>
      </w:r>
    </w:p>
    <w:p>
      <w:pPr>
        <w:spacing w:beforeLines="50" w:afterLines="50"/>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6  其他污染物限量</w:t>
      </w:r>
    </w:p>
    <w:p>
      <w:pPr>
        <w:ind w:firstLine="420" w:firstLineChars="200"/>
        <w:rPr>
          <w:rFonts w:ascii="黑体" w:hAnsi="黑体" w:cs="黑体"/>
          <w:szCs w:val="21"/>
        </w:rPr>
      </w:pPr>
      <w:r>
        <w:rPr>
          <w:rFonts w:hint="eastAsia" w:ascii="宋体" w:hAnsi="宋体"/>
          <w:szCs w:val="21"/>
        </w:rPr>
        <w:t>应符合GB 2762的规定。</w:t>
      </w:r>
    </w:p>
    <w:p>
      <w:pPr>
        <w:spacing w:beforeLines="50" w:afterLines="50"/>
        <w:rPr>
          <w:rFonts w:ascii="黑体" w:hAnsi="黑体" w:eastAsia="黑体" w:cs="黑体"/>
          <w:szCs w:val="21"/>
        </w:rPr>
      </w:pPr>
      <w:r>
        <w:rPr>
          <w:rFonts w:hint="eastAsia" w:ascii="黑体" w:hAnsi="黑体" w:eastAsia="黑体" w:cs="黑体"/>
          <w:szCs w:val="21"/>
        </w:rPr>
        <w:t>4.7  生产加工过程卫生要求</w:t>
      </w:r>
    </w:p>
    <w:p>
      <w:pPr>
        <w:pStyle w:val="3"/>
        <w:ind w:firstLine="420" w:firstLineChars="200"/>
        <w:rPr>
          <w:rFonts w:ascii="宋体" w:hAnsi="宋体"/>
          <w:sz w:val="21"/>
          <w:szCs w:val="21"/>
        </w:rPr>
      </w:pPr>
      <w:r>
        <w:rPr>
          <w:rFonts w:hint="eastAsia" w:ascii="宋体" w:hAnsi="宋体"/>
          <w:sz w:val="21"/>
          <w:szCs w:val="21"/>
        </w:rPr>
        <w:t>生产加工过程的卫生要求应符合GB 8951及GB14881的规定。</w:t>
      </w:r>
    </w:p>
    <w:p>
      <w:pPr>
        <w:spacing w:beforeLines="100" w:afterLines="100"/>
        <w:rPr>
          <w:rFonts w:ascii="黑体" w:hAnsi="黑体" w:eastAsia="黑体" w:cs="黑体"/>
          <w:szCs w:val="21"/>
        </w:rPr>
      </w:pPr>
      <w:r>
        <w:rPr>
          <w:rFonts w:hint="eastAsia" w:ascii="黑体" w:hAnsi="黑体" w:eastAsia="黑体" w:cs="黑体"/>
          <w:szCs w:val="21"/>
        </w:rPr>
        <w:t>5  检验规则</w:t>
      </w:r>
    </w:p>
    <w:p>
      <w:pPr>
        <w:spacing w:beforeLines="50" w:afterLines="50"/>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 xml:space="preserve">.1 </w:t>
      </w:r>
      <w:r>
        <w:rPr>
          <w:rFonts w:hint="eastAsia" w:ascii="黑体" w:hAnsi="黑体" w:eastAsia="黑体" w:cs="黑体"/>
          <w:szCs w:val="21"/>
        </w:rPr>
        <w:t xml:space="preserve"> 组批</w:t>
      </w:r>
    </w:p>
    <w:p>
      <w:pPr>
        <w:ind w:firstLine="420" w:firstLineChars="200"/>
        <w:rPr>
          <w:szCs w:val="21"/>
        </w:rPr>
      </w:pPr>
      <w:r>
        <w:rPr>
          <w:rFonts w:hint="eastAsia"/>
          <w:szCs w:val="21"/>
        </w:rPr>
        <w:t>同一生产期内生产的、同一批次、同</w:t>
      </w:r>
      <w:r>
        <w:rPr>
          <w:szCs w:val="21"/>
        </w:rPr>
        <w:t>一类别、同一品质，且出厂包装规格相同的产品</w:t>
      </w:r>
      <w:r>
        <w:rPr>
          <w:rFonts w:hint="eastAsia"/>
          <w:szCs w:val="21"/>
        </w:rPr>
        <w:t>同一组批</w:t>
      </w:r>
      <w:r>
        <w:rPr>
          <w:szCs w:val="21"/>
        </w:rPr>
        <w:t>。</w:t>
      </w:r>
    </w:p>
    <w:p>
      <w:pPr>
        <w:pStyle w:val="21"/>
        <w:tabs>
          <w:tab w:val="left" w:pos="432"/>
          <w:tab w:val="left" w:pos="433"/>
        </w:tabs>
        <w:spacing w:beforeLines="50" w:afterLines="50"/>
        <w:ind w:firstLine="0" w:firstLineChars="0"/>
        <w:rPr>
          <w:rFonts w:ascii="黑体" w:hAnsi="黑体" w:eastAsia="黑体"/>
        </w:rPr>
      </w:pPr>
      <w:r>
        <w:rPr>
          <w:rFonts w:hint="eastAsia" w:ascii="黑体" w:hAnsi="黑体" w:eastAsia="黑体"/>
        </w:rPr>
        <w:t>5.2  抽样</w:t>
      </w:r>
    </w:p>
    <w:p>
      <w:pPr>
        <w:ind w:firstLine="420" w:firstLineChars="200"/>
        <w:rPr>
          <w:szCs w:val="21"/>
        </w:rPr>
      </w:pPr>
      <w:r>
        <w:rPr>
          <w:rFonts w:hint="eastAsia"/>
          <w:szCs w:val="21"/>
        </w:rPr>
        <w:t>从每批产品的不同部位随机抽取6瓶，3瓶做感官、理化、卫生指标检验，3瓶留样。净含量按JJF 1070的要求进行抽样。</w:t>
      </w:r>
    </w:p>
    <w:p>
      <w:pPr>
        <w:pStyle w:val="21"/>
        <w:tabs>
          <w:tab w:val="left" w:pos="432"/>
          <w:tab w:val="left" w:pos="433"/>
        </w:tabs>
        <w:spacing w:beforeLines="50" w:afterLines="50"/>
        <w:ind w:firstLine="0" w:firstLineChars="0"/>
        <w:rPr>
          <w:rFonts w:ascii="黑体" w:hAnsi="黑体" w:eastAsia="黑体"/>
        </w:rPr>
      </w:pPr>
      <w:r>
        <w:rPr>
          <w:rFonts w:hint="eastAsia" w:ascii="黑体" w:hAnsi="黑体" w:eastAsia="黑体"/>
        </w:rPr>
        <w:t>5.3  检验分类</w:t>
      </w:r>
    </w:p>
    <w:p>
      <w:pPr>
        <w:ind w:firstLine="420" w:firstLineChars="200"/>
        <w:rPr>
          <w:szCs w:val="21"/>
        </w:rPr>
      </w:pPr>
      <w:r>
        <w:rPr>
          <w:rFonts w:hint="eastAsia"/>
          <w:szCs w:val="21"/>
        </w:rPr>
        <w:t>产品检验分为出厂检验和型式检验。</w:t>
      </w:r>
    </w:p>
    <w:p>
      <w:pPr>
        <w:spacing w:beforeLines="50" w:afterLines="50"/>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3.1</w:t>
      </w:r>
      <w:r>
        <w:rPr>
          <w:rFonts w:ascii="黑体" w:hAnsi="黑体" w:eastAsia="黑体" w:cs="黑体"/>
          <w:szCs w:val="21"/>
        </w:rPr>
        <w:t xml:space="preserve"> </w:t>
      </w:r>
      <w:r>
        <w:rPr>
          <w:rFonts w:hint="eastAsia" w:ascii="黑体" w:hAnsi="黑体" w:eastAsia="黑体" w:cs="黑体"/>
          <w:szCs w:val="21"/>
        </w:rPr>
        <w:t xml:space="preserve"> 出厂检验</w:t>
      </w:r>
    </w:p>
    <w:p>
      <w:pPr>
        <w:pStyle w:val="3"/>
        <w:ind w:firstLine="420" w:firstLineChars="200"/>
        <w:rPr>
          <w:sz w:val="21"/>
        </w:rPr>
      </w:pPr>
      <w:r>
        <w:rPr>
          <w:rFonts w:hint="eastAsia"/>
          <w:sz w:val="21"/>
        </w:rPr>
        <w:t>产品出厂前必须经厂检验部门逐批检验合格，并签发检验合格报告方可出厂。蒸馏酒、食用酒精为酒基的蓝莓酒出厂检验项目为净含量、感官、酒精度、总糖、总酸、干浸出物、甲醇。发酵酒</w:t>
      </w:r>
    </w:p>
    <w:p>
      <w:pPr>
        <w:pStyle w:val="3"/>
        <w:ind w:firstLine="420" w:firstLineChars="200"/>
        <w:rPr>
          <w:sz w:val="21"/>
        </w:rPr>
      </w:pPr>
    </w:p>
    <w:p>
      <w:pPr>
        <w:pStyle w:val="3"/>
        <w:ind w:firstLine="420" w:firstLineChars="200"/>
        <w:rPr>
          <w:sz w:val="21"/>
        </w:rPr>
      </w:pPr>
      <w:r>
        <w:rPr>
          <w:rFonts w:hint="eastAsia"/>
          <w:sz w:val="21"/>
        </w:rPr>
        <w:t>为酒基的蓝莓酒出厂检验项目为净含量、感官、酒精度、总糖、总酸、挥发酸、干浸出物、甲醇。</w:t>
      </w:r>
    </w:p>
    <w:p>
      <w:pPr>
        <w:spacing w:beforeLines="50" w:afterLines="50"/>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.3</w:t>
      </w:r>
      <w:r>
        <w:rPr>
          <w:rFonts w:hint="eastAsia" w:ascii="黑体" w:hAnsi="黑体" w:eastAsia="黑体" w:cs="黑体"/>
          <w:szCs w:val="21"/>
        </w:rPr>
        <w:t>.2 型式检验</w:t>
      </w:r>
    </w:p>
    <w:p>
      <w:pPr>
        <w:adjustRightInd w:val="0"/>
        <w:snapToGrid w:val="0"/>
        <w:ind w:firstLine="420" w:firstLineChars="200"/>
        <w:rPr>
          <w:rFonts w:ascii="宋体" w:hAnsi="宋体"/>
          <w:bCs/>
          <w:szCs w:val="21"/>
        </w:rPr>
      </w:pPr>
      <w:r>
        <w:rPr>
          <w:rFonts w:hint="eastAsia" w:ascii="宋体" w:hAnsi="宋体"/>
          <w:bCs/>
          <w:szCs w:val="21"/>
        </w:rPr>
        <w:t>型式检验为本文件4.2～4.6项中规定的项目，每半年进行一次，有下列情况之一时亦应进行型式检验：</w:t>
      </w:r>
    </w:p>
    <w:p>
      <w:pPr>
        <w:adjustRightInd w:val="0"/>
        <w:snapToGrid w:val="0"/>
        <w:ind w:firstLine="420" w:firstLineChars="200"/>
        <w:rPr>
          <w:rFonts w:ascii="宋体" w:hAnsi="宋体"/>
          <w:bCs/>
          <w:szCs w:val="21"/>
        </w:rPr>
      </w:pPr>
      <w:r>
        <w:rPr>
          <w:rFonts w:hint="eastAsia" w:ascii="宋体" w:hAnsi="宋体"/>
          <w:bCs/>
          <w:szCs w:val="21"/>
        </w:rPr>
        <w:t>a、原料产地或生产工艺设备有较大改变，可能影响产品质量时；</w:t>
      </w:r>
    </w:p>
    <w:p>
      <w:pPr>
        <w:adjustRightInd w:val="0"/>
        <w:snapToGrid w:val="0"/>
        <w:ind w:firstLine="420" w:firstLineChars="200"/>
        <w:rPr>
          <w:rFonts w:ascii="宋体" w:hAnsi="宋体"/>
          <w:bCs/>
          <w:szCs w:val="21"/>
        </w:rPr>
      </w:pPr>
      <w:r>
        <w:rPr>
          <w:rFonts w:hint="eastAsia" w:ascii="宋体" w:hAnsi="宋体"/>
          <w:bCs/>
          <w:szCs w:val="21"/>
        </w:rPr>
        <w:t>b、连续停产三月以上恢复生产时；</w:t>
      </w:r>
    </w:p>
    <w:p>
      <w:pPr>
        <w:adjustRightInd w:val="0"/>
        <w:snapToGrid w:val="0"/>
        <w:ind w:firstLine="420" w:firstLineChars="200"/>
        <w:rPr>
          <w:rFonts w:ascii="宋体" w:hAnsi="宋体"/>
          <w:bCs/>
          <w:szCs w:val="21"/>
        </w:rPr>
      </w:pPr>
      <w:r>
        <w:rPr>
          <w:rFonts w:hint="eastAsia" w:ascii="宋体" w:hAnsi="宋体"/>
          <w:bCs/>
          <w:szCs w:val="21"/>
        </w:rPr>
        <w:t>c、出厂检验结果与上次型式检验结果有较大差异时；</w:t>
      </w:r>
    </w:p>
    <w:p>
      <w:pPr>
        <w:adjustRightInd w:val="0"/>
        <w:snapToGrid w:val="0"/>
        <w:ind w:firstLine="420" w:firstLineChars="200"/>
        <w:rPr>
          <w:rFonts w:ascii="宋体" w:hAnsi="宋体"/>
          <w:bCs/>
          <w:szCs w:val="21"/>
        </w:rPr>
      </w:pPr>
      <w:r>
        <w:rPr>
          <w:rFonts w:hint="eastAsia" w:ascii="宋体" w:hAnsi="宋体"/>
          <w:bCs/>
          <w:szCs w:val="21"/>
        </w:rPr>
        <w:t>d、</w:t>
      </w:r>
      <w:r>
        <w:rPr>
          <w:rFonts w:hint="eastAsia"/>
          <w:szCs w:val="21"/>
        </w:rPr>
        <w:t>国家市场监督管理部门提出型式检验要求时</w:t>
      </w:r>
      <w:r>
        <w:rPr>
          <w:rFonts w:hint="eastAsia" w:ascii="宋体" w:hAnsi="宋体"/>
        </w:rPr>
        <w:t>。</w:t>
      </w:r>
    </w:p>
    <w:p>
      <w:pPr>
        <w:spacing w:beforeLines="50" w:afterLines="50"/>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 xml:space="preserve">.4 </w:t>
      </w:r>
      <w:r>
        <w:rPr>
          <w:rFonts w:hint="eastAsia" w:ascii="黑体" w:hAnsi="黑体" w:eastAsia="黑体" w:cs="黑体"/>
          <w:szCs w:val="21"/>
        </w:rPr>
        <w:t xml:space="preserve"> 判定规则</w:t>
      </w:r>
    </w:p>
    <w:p>
      <w:pPr>
        <w:spacing w:beforeLines="50" w:afterLines="50"/>
      </w:pPr>
      <w:r>
        <w:rPr>
          <w:rFonts w:hint="eastAsia" w:ascii="黑体" w:hAnsi="黑体" w:eastAsia="黑体"/>
          <w:szCs w:val="21"/>
        </w:rPr>
        <w:t>5</w:t>
      </w:r>
      <w:r>
        <w:rPr>
          <w:rFonts w:ascii="黑体" w:hAnsi="黑体" w:eastAsia="黑体"/>
          <w:szCs w:val="21"/>
        </w:rPr>
        <w:t xml:space="preserve">.4.1 </w:t>
      </w:r>
      <w:r>
        <w:rPr>
          <w:rFonts w:hint="eastAsia" w:ascii="黑体" w:hAnsi="黑体" w:eastAsia="黑体"/>
          <w:szCs w:val="21"/>
        </w:rPr>
        <w:t xml:space="preserve"> </w:t>
      </w:r>
      <w:r>
        <w:rPr>
          <w:rFonts w:hint="eastAsia" w:ascii="黑体" w:hAnsi="黑体" w:eastAsia="黑体"/>
        </w:rPr>
        <w:t>出厂检验判定</w:t>
      </w:r>
    </w:p>
    <w:p>
      <w:pPr>
        <w:ind w:firstLine="420" w:firstLineChars="200"/>
      </w:pPr>
      <w:r>
        <w:rPr>
          <w:rFonts w:hint="eastAsia"/>
        </w:rPr>
        <w:t>出厂检验结果中，如有不符合本文件项目时，对不合格项目从该批产品中加倍抽样复查。复验结果仍不符合本文件的要求，则判定该批产品为不合格品。</w:t>
      </w:r>
    </w:p>
    <w:p>
      <w:pPr>
        <w:spacing w:beforeLines="50" w:afterLines="50"/>
        <w:rPr>
          <w:rFonts w:ascii="黑体" w:hAnsi="黑体" w:eastAsia="黑体"/>
          <w:szCs w:val="21"/>
        </w:rPr>
      </w:pPr>
      <w:r>
        <w:rPr>
          <w:rFonts w:hint="eastAsia" w:ascii="黑体" w:hAnsi="黑体" w:eastAsia="黑体"/>
          <w:szCs w:val="21"/>
        </w:rPr>
        <w:t>5</w:t>
      </w:r>
      <w:r>
        <w:rPr>
          <w:rFonts w:ascii="黑体" w:hAnsi="黑体" w:eastAsia="黑体"/>
          <w:szCs w:val="21"/>
        </w:rPr>
        <w:t xml:space="preserve">.4.2 </w:t>
      </w:r>
      <w:r>
        <w:rPr>
          <w:rFonts w:hint="eastAsia" w:ascii="黑体" w:hAnsi="黑体" w:eastAsia="黑体"/>
          <w:szCs w:val="21"/>
        </w:rPr>
        <w:t xml:space="preserve"> 型式检验判定</w:t>
      </w:r>
    </w:p>
    <w:p>
      <w:pPr>
        <w:ind w:firstLine="420" w:firstLineChars="200"/>
        <w:rPr>
          <w:rFonts w:ascii="宋体" w:hAnsi="宋体"/>
          <w:szCs w:val="21"/>
        </w:rPr>
      </w:pPr>
      <w:r>
        <w:rPr>
          <w:rFonts w:hint="eastAsia" w:ascii="宋体" w:hAnsi="宋体"/>
          <w:szCs w:val="21"/>
        </w:rPr>
        <w:t>型式检验项目全部符合本文件的要求时，判该批产品型式检验合格，型式检验项目中有一项或一项以上项目不合格，可取备样复验,复验后仍不符合标准的要求，</w:t>
      </w:r>
      <w:r>
        <w:rPr>
          <w:rFonts w:hint="eastAsia"/>
        </w:rPr>
        <w:t>则判定该批产品为不合格品</w:t>
      </w:r>
      <w:r>
        <w:rPr>
          <w:rFonts w:hint="eastAsia" w:ascii="宋体" w:hAnsi="宋体"/>
          <w:szCs w:val="21"/>
        </w:rPr>
        <w:t>。</w:t>
      </w:r>
    </w:p>
    <w:p>
      <w:pPr>
        <w:spacing w:beforeLines="100" w:afterLines="100"/>
        <w:rPr>
          <w:rFonts w:ascii="黑体" w:hAnsi="黑体" w:eastAsia="黑体" w:cs="黑体"/>
          <w:szCs w:val="21"/>
        </w:rPr>
      </w:pPr>
      <w:r>
        <w:rPr>
          <w:rFonts w:hint="eastAsia" w:ascii="黑体" w:hAnsi="黑体" w:eastAsia="黑体" w:cs="黑体"/>
          <w:szCs w:val="21"/>
        </w:rPr>
        <w:t>6  标志、标签、包装、运输、贮存</w:t>
      </w:r>
    </w:p>
    <w:p>
      <w:pPr>
        <w:spacing w:beforeLines="50" w:afterLines="50"/>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w:t>
      </w:r>
      <w:r>
        <w:rPr>
          <w:rFonts w:hint="eastAsia" w:ascii="黑体" w:hAnsi="黑体" w:eastAsia="黑体" w:cs="黑体"/>
          <w:szCs w:val="21"/>
        </w:rPr>
        <w:t>1  标志、标签</w:t>
      </w:r>
    </w:p>
    <w:p>
      <w:pPr>
        <w:ind w:firstLine="420" w:firstLineChars="200"/>
        <w:rPr>
          <w:rFonts w:ascii="宋体" w:hAnsi="宋体"/>
          <w:szCs w:val="21"/>
        </w:rPr>
      </w:pPr>
      <w:r>
        <w:rPr>
          <w:rFonts w:hint="eastAsia"/>
          <w:szCs w:val="21"/>
        </w:rPr>
        <w:t>产品包装应有明显标志，产品包装运输图示应符合GB/T 191的规定。</w:t>
      </w:r>
      <w:r>
        <w:rPr>
          <w:rFonts w:hint="eastAsia" w:ascii="宋体" w:hAnsi="宋体"/>
          <w:szCs w:val="21"/>
        </w:rPr>
        <w:t>以蒸馏酒、食用酒精为酒基的蓝莓酒应同时符合GB 7718和GB 2757</w:t>
      </w:r>
      <w:r>
        <w:rPr>
          <w:rFonts w:hint="eastAsia"/>
          <w:szCs w:val="21"/>
        </w:rPr>
        <w:t>第四章</w:t>
      </w:r>
      <w:r>
        <w:rPr>
          <w:rFonts w:hint="eastAsia" w:ascii="宋体" w:hAnsi="宋体"/>
          <w:szCs w:val="21"/>
        </w:rPr>
        <w:t>的规定。以发酵酒为酒基的蓝莓酒应符合GB 7718和GB 2758</w:t>
      </w:r>
      <w:r>
        <w:rPr>
          <w:rFonts w:hint="eastAsia"/>
          <w:szCs w:val="21"/>
        </w:rPr>
        <w:t>第四章</w:t>
      </w:r>
      <w:r>
        <w:rPr>
          <w:rFonts w:hint="eastAsia" w:ascii="宋体" w:hAnsi="宋体"/>
          <w:szCs w:val="21"/>
        </w:rPr>
        <w:t>的规定。</w:t>
      </w:r>
    </w:p>
    <w:p>
      <w:pPr>
        <w:spacing w:beforeLines="50" w:afterLines="50"/>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w:t>
      </w:r>
      <w:r>
        <w:rPr>
          <w:rFonts w:hint="eastAsia" w:ascii="黑体" w:hAnsi="黑体" w:eastAsia="黑体" w:cs="黑体"/>
          <w:szCs w:val="21"/>
        </w:rPr>
        <w:t>2  包装</w:t>
      </w:r>
    </w:p>
    <w:p>
      <w:pPr>
        <w:ind w:firstLine="420" w:firstLineChars="200"/>
        <w:rPr>
          <w:rFonts w:ascii="宋体" w:cs="黑体"/>
          <w:szCs w:val="21"/>
        </w:rPr>
      </w:pPr>
      <w:r>
        <w:rPr>
          <w:rFonts w:hint="eastAsia" w:ascii="宋体" w:hAnsi="宋体"/>
          <w:szCs w:val="21"/>
        </w:rPr>
        <w:t>本产品所用包装材料应符合有关食品包装材料的卫生要求。外包装箱内应有间隔和衬垫，箱体上应注明小心轻放、请勿倒置等标识。</w:t>
      </w:r>
    </w:p>
    <w:p>
      <w:pPr>
        <w:pStyle w:val="21"/>
        <w:tabs>
          <w:tab w:val="left" w:pos="432"/>
          <w:tab w:val="left" w:pos="433"/>
        </w:tabs>
        <w:spacing w:beforeLines="50" w:afterLines="50"/>
        <w:ind w:firstLine="0" w:firstLineChars="0"/>
        <w:rPr>
          <w:rFonts w:ascii="黑体" w:hAnsi="黑体" w:eastAsia="黑体"/>
        </w:rPr>
      </w:pPr>
      <w:r>
        <w:rPr>
          <w:rFonts w:hint="eastAsia" w:ascii="黑体" w:hAnsi="黑体" w:eastAsia="黑体"/>
        </w:rPr>
        <w:t>6.3  运输</w:t>
      </w:r>
    </w:p>
    <w:p>
      <w:pPr>
        <w:ind w:firstLine="420" w:firstLineChars="200"/>
        <w:rPr>
          <w:szCs w:val="21"/>
          <w:lang w:val="zh-CN"/>
        </w:rPr>
      </w:pPr>
      <w:r>
        <w:rPr>
          <w:rFonts w:hint="eastAsia"/>
          <w:szCs w:val="21"/>
        </w:rPr>
        <w:t>运输工具必须清洁、卫生。产品不得与有毒、有害、有腐蚀性、易挥发或有异味的物品混装混运。运输过程中不得曝晒、雨淋、受潮。搬运时应轻拿轻放，严禁野蛮装卸、撞击、挤压。</w:t>
      </w:r>
    </w:p>
    <w:p>
      <w:pPr>
        <w:pStyle w:val="21"/>
        <w:tabs>
          <w:tab w:val="left" w:pos="432"/>
          <w:tab w:val="left" w:pos="433"/>
        </w:tabs>
        <w:spacing w:beforeLines="50" w:afterLines="50"/>
        <w:ind w:firstLine="0" w:firstLineChars="0"/>
        <w:rPr>
          <w:rFonts w:ascii="黑体" w:hAnsi="黑体" w:eastAsia="黑体"/>
        </w:rPr>
      </w:pPr>
      <w:r>
        <w:rPr>
          <w:rFonts w:hint="eastAsia" w:ascii="黑体" w:hAnsi="黑体" w:eastAsia="黑体"/>
        </w:rPr>
        <w:t>6.4  贮存</w:t>
      </w:r>
    </w:p>
    <w:p>
      <w:pPr>
        <w:ind w:firstLine="420" w:firstLineChars="200"/>
        <w:rPr>
          <w:szCs w:val="21"/>
        </w:rPr>
      </w:pPr>
      <w:r>
        <w:rPr>
          <w:rFonts w:hint="eastAsia"/>
          <w:szCs w:val="21"/>
        </w:rPr>
        <w:t>产品应贮存在阴凉、干燥、通风的库房中；严禁露天堆放、日晒、雨淋或靠近热源；包装箱底部应垫有材料，离墙离地保存，产品不得与有毒、有害、有腐蚀性或有异味的物品同库储存。</w:t>
      </w:r>
    </w:p>
    <w:p>
      <w:pPr>
        <w:spacing w:beforeLines="50" w:afterLines="50"/>
        <w:rPr>
          <w:rFonts w:ascii="黑体" w:hAnsi="黑体" w:eastAsia="黑体" w:cs="黑体"/>
          <w:szCs w:val="21"/>
        </w:rPr>
      </w:pPr>
      <w:r>
        <w:rPr>
          <w:rFonts w:hint="eastAsia" w:ascii="黑体" w:hAnsi="黑体" w:eastAsia="黑体" w:cs="黑体"/>
          <w:szCs w:val="21"/>
        </w:rPr>
        <w:t>6</w:t>
      </w:r>
      <w:r>
        <w:rPr>
          <w:rFonts w:ascii="黑体" w:hAnsi="黑体" w:eastAsia="黑体" w:cs="黑体"/>
          <w:szCs w:val="21"/>
        </w:rPr>
        <w:t>.</w:t>
      </w:r>
      <w:r>
        <w:rPr>
          <w:rFonts w:hint="eastAsia" w:ascii="黑体" w:hAnsi="黑体" w:eastAsia="黑体" w:cs="黑体"/>
          <w:szCs w:val="21"/>
        </w:rPr>
        <w:t>5  保质期</w:t>
      </w:r>
    </w:p>
    <w:p>
      <w:pPr>
        <w:ind w:firstLine="420" w:firstLineChars="200"/>
        <w:rPr>
          <w:rFonts w:ascii="宋体"/>
          <w:szCs w:val="21"/>
        </w:rPr>
      </w:pPr>
      <w:r>
        <w:rPr>
          <w:rFonts w:hint="eastAsia" w:ascii="宋体" w:hAnsi="宋体"/>
          <w:szCs w:val="21"/>
        </w:rPr>
        <w:t>在本标准规定贮存条件下，</w:t>
      </w:r>
      <w:r>
        <w:rPr>
          <w:rFonts w:hint="eastAsia" w:ascii="宋体" w:hAnsi="宋体" w:cs="黑体"/>
          <w:szCs w:val="21"/>
        </w:rPr>
        <w:t>酒精度小于10%vol的产品保质期为12个月；酒精度大于等于10%vol的产品可免于标示保质期。</w:t>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r>
        <w:rPr>
          <w:rFonts w:ascii="宋体"/>
          <w:szCs w:val="21"/>
        </w:rPr>
        <w:softHyphen/>
      </w:r>
    </w:p>
    <w:p>
      <w:pPr>
        <w:spacing w:beforeLines="50" w:afterLines="50"/>
        <w:jc w:val="center"/>
        <w:rPr>
          <w:rFonts w:ascii="黑体" w:hAnsi="黑体" w:eastAsia="黑体"/>
        </w:rPr>
      </w:pPr>
    </w:p>
    <w:p>
      <w:pPr>
        <w:spacing w:beforeLines="50" w:afterLines="50"/>
        <w:jc w:val="center"/>
        <w:rPr>
          <w:rFonts w:ascii="黑体" w:hAnsi="黑体" w:eastAsia="黑体"/>
        </w:rPr>
      </w:pPr>
      <w:r>
        <w:rPr>
          <w:rFonts w:hint="eastAsia" w:ascii="黑体" w:hAnsi="黑体" w:eastAsia="黑体"/>
        </w:rPr>
        <w:t>参考文献</w:t>
      </w:r>
    </w:p>
    <w:p>
      <w:pPr>
        <w:ind w:firstLine="420" w:firstLineChars="200"/>
        <w:rPr>
          <w:rFonts w:ascii="宋体" w:hAnsi="宋体" w:cs="宋体"/>
        </w:rPr>
      </w:pPr>
      <w:r>
        <w:rPr>
          <w:rFonts w:hint="eastAsia" w:ascii="宋体" w:hAnsi="宋体" w:cs="宋体"/>
        </w:rPr>
        <w:t>[1]国家质量监督检验检疫总局75号令（2005）定量包装商品计量监督管理办法</w:t>
      </w:r>
    </w:p>
    <w:p>
      <w:pPr>
        <w:rPr>
          <w:kern w:val="10"/>
        </w:rPr>
      </w:pPr>
    </w:p>
    <w:p>
      <w:pPr>
        <w:rPr>
          <w:kern w:val="10"/>
        </w:rPr>
      </w:pPr>
    </w:p>
    <w:p>
      <w:pPr>
        <w:pStyle w:val="30"/>
        <w:framePr w:y="1"/>
        <w:rPr>
          <w:rFonts w:hint="eastAsia"/>
        </w:rPr>
      </w:pPr>
      <w:r>
        <w:t>________________________</w:t>
      </w:r>
    </w:p>
    <w:p>
      <w:pPr>
        <w:rPr>
          <w:kern w:val="10"/>
        </w:rPr>
      </w:pPr>
    </w:p>
    <w:p>
      <w:pPr>
        <w:rPr>
          <w:rFonts w:ascii="宋体"/>
          <w:b/>
          <w:sz w:val="16"/>
          <w:szCs w:val="16"/>
        </w:rPr>
      </w:pPr>
    </w:p>
    <w:sectPr>
      <w:footerReference r:id="rId5" w:type="first"/>
      <w:headerReference r:id="rId3" w:type="default"/>
      <w:footerReference r:id="rId4" w:type="default"/>
      <w:pgSz w:w="11906" w:h="16838"/>
      <w:pgMar w:top="1418" w:right="1134" w:bottom="1418" w:left="1418" w:header="1134" w:footer="1134"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0"/>
      <w:jc w:val="righ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50"/>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sz w:val="21"/>
        <w:szCs w:val="21"/>
      </w:rPr>
    </w:pPr>
    <w:r>
      <w:rPr>
        <w:rFonts w:ascii="黑体" w:hAnsi="黑体" w:eastAsia="黑体"/>
        <w:sz w:val="21"/>
        <w:szCs w:val="21"/>
      </w:rPr>
      <w:t>Q/MTNYJ</w:t>
    </w:r>
    <w:r>
      <w:rPr>
        <w:rFonts w:hint="eastAsia" w:ascii="黑体" w:hAnsi="黑体" w:eastAsia="黑体"/>
        <w:sz w:val="21"/>
        <w:szCs w:val="21"/>
      </w:rPr>
      <w:t xml:space="preserve"> </w:t>
    </w:r>
    <w:r>
      <w:rPr>
        <w:rFonts w:ascii="黑体" w:hAnsi="黑体" w:eastAsia="黑体"/>
        <w:sz w:val="21"/>
        <w:szCs w:val="21"/>
      </w:rPr>
      <w:t>0201</w:t>
    </w:r>
    <w:r>
      <w:rPr>
        <w:rFonts w:hint="eastAsia" w:ascii="黑体" w:hAnsi="黑体" w:eastAsia="黑体"/>
        <w:sz w:val="21"/>
        <w:szCs w:val="21"/>
      </w:rPr>
      <w:t>S</w:t>
    </w:r>
    <w:r>
      <w:rPr>
        <w:rFonts w:ascii="黑体" w:hAnsi="黑体" w:eastAsia="黑体"/>
        <w:sz w:val="21"/>
        <w:szCs w:val="21"/>
      </w:rPr>
      <w:t>-20</w:t>
    </w:r>
    <w:r>
      <w:rPr>
        <w:rFonts w:hint="eastAsia" w:ascii="黑体" w:hAnsi="黑体" w:eastAsia="黑体"/>
        <w:sz w:val="21"/>
        <w:szCs w:val="21"/>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g5YjFjYzQ5ZjIwYzNiNTliZTY3ZGIxMWUzZWFjZTAifQ=="/>
  </w:docVars>
  <w:rsids>
    <w:rsidRoot w:val="00172A27"/>
    <w:rsid w:val="00005A4D"/>
    <w:rsid w:val="00013BF6"/>
    <w:rsid w:val="0001697B"/>
    <w:rsid w:val="000258C5"/>
    <w:rsid w:val="00030D3E"/>
    <w:rsid w:val="00041FA2"/>
    <w:rsid w:val="00050743"/>
    <w:rsid w:val="0005714F"/>
    <w:rsid w:val="00057C81"/>
    <w:rsid w:val="000722C8"/>
    <w:rsid w:val="0008410D"/>
    <w:rsid w:val="000A184C"/>
    <w:rsid w:val="000A2131"/>
    <w:rsid w:val="000A3F55"/>
    <w:rsid w:val="000A7C8B"/>
    <w:rsid w:val="000B280F"/>
    <w:rsid w:val="000B3D72"/>
    <w:rsid w:val="000B47B5"/>
    <w:rsid w:val="000B7115"/>
    <w:rsid w:val="000C262A"/>
    <w:rsid w:val="000D7BB9"/>
    <w:rsid w:val="000E1505"/>
    <w:rsid w:val="000E663A"/>
    <w:rsid w:val="000F1483"/>
    <w:rsid w:val="000F2373"/>
    <w:rsid w:val="000F7EAA"/>
    <w:rsid w:val="00111837"/>
    <w:rsid w:val="00125837"/>
    <w:rsid w:val="00126A67"/>
    <w:rsid w:val="00126C3A"/>
    <w:rsid w:val="001341FD"/>
    <w:rsid w:val="00141DFF"/>
    <w:rsid w:val="00145BBA"/>
    <w:rsid w:val="0014653E"/>
    <w:rsid w:val="001529D4"/>
    <w:rsid w:val="00155ADA"/>
    <w:rsid w:val="00156936"/>
    <w:rsid w:val="00164E7C"/>
    <w:rsid w:val="00172A27"/>
    <w:rsid w:val="00180F94"/>
    <w:rsid w:val="00184B86"/>
    <w:rsid w:val="00186455"/>
    <w:rsid w:val="00186E46"/>
    <w:rsid w:val="00196917"/>
    <w:rsid w:val="0019755C"/>
    <w:rsid w:val="001B0276"/>
    <w:rsid w:val="001C418B"/>
    <w:rsid w:val="001C62E7"/>
    <w:rsid w:val="001C6F60"/>
    <w:rsid w:val="001D1FEF"/>
    <w:rsid w:val="001D28E0"/>
    <w:rsid w:val="001D7C0A"/>
    <w:rsid w:val="001E4499"/>
    <w:rsid w:val="001E5E4A"/>
    <w:rsid w:val="001F0AD6"/>
    <w:rsid w:val="002033B5"/>
    <w:rsid w:val="00206DC2"/>
    <w:rsid w:val="0020705E"/>
    <w:rsid w:val="002134CE"/>
    <w:rsid w:val="00216FD0"/>
    <w:rsid w:val="00217B10"/>
    <w:rsid w:val="002229C0"/>
    <w:rsid w:val="00237DAB"/>
    <w:rsid w:val="00244A2A"/>
    <w:rsid w:val="00247CE9"/>
    <w:rsid w:val="00255409"/>
    <w:rsid w:val="00260CCB"/>
    <w:rsid w:val="00261D3E"/>
    <w:rsid w:val="00270693"/>
    <w:rsid w:val="002724E2"/>
    <w:rsid w:val="0028034D"/>
    <w:rsid w:val="00284012"/>
    <w:rsid w:val="002860D5"/>
    <w:rsid w:val="002872AF"/>
    <w:rsid w:val="0029465D"/>
    <w:rsid w:val="002A1962"/>
    <w:rsid w:val="002A7C42"/>
    <w:rsid w:val="002B0FF0"/>
    <w:rsid w:val="002C64B1"/>
    <w:rsid w:val="002C79B7"/>
    <w:rsid w:val="002D2451"/>
    <w:rsid w:val="002D38F6"/>
    <w:rsid w:val="002D50C4"/>
    <w:rsid w:val="002D5CD3"/>
    <w:rsid w:val="002F50DB"/>
    <w:rsid w:val="0030587E"/>
    <w:rsid w:val="00307A13"/>
    <w:rsid w:val="00307B03"/>
    <w:rsid w:val="003115CB"/>
    <w:rsid w:val="00312E19"/>
    <w:rsid w:val="00315008"/>
    <w:rsid w:val="00320398"/>
    <w:rsid w:val="00323A90"/>
    <w:rsid w:val="00323E88"/>
    <w:rsid w:val="003251E5"/>
    <w:rsid w:val="00330D56"/>
    <w:rsid w:val="00335DFF"/>
    <w:rsid w:val="003519FE"/>
    <w:rsid w:val="00354F48"/>
    <w:rsid w:val="00355BE7"/>
    <w:rsid w:val="0035742C"/>
    <w:rsid w:val="003716D9"/>
    <w:rsid w:val="00373B94"/>
    <w:rsid w:val="0037517C"/>
    <w:rsid w:val="00376809"/>
    <w:rsid w:val="00386B4E"/>
    <w:rsid w:val="00396437"/>
    <w:rsid w:val="003965C0"/>
    <w:rsid w:val="003B2E33"/>
    <w:rsid w:val="003B6E4E"/>
    <w:rsid w:val="003B76E3"/>
    <w:rsid w:val="003E0169"/>
    <w:rsid w:val="003F0D4C"/>
    <w:rsid w:val="003F5B36"/>
    <w:rsid w:val="004017E4"/>
    <w:rsid w:val="00405F7D"/>
    <w:rsid w:val="00406B1F"/>
    <w:rsid w:val="00432F8D"/>
    <w:rsid w:val="00435F55"/>
    <w:rsid w:val="00436E22"/>
    <w:rsid w:val="0044403B"/>
    <w:rsid w:val="00452A75"/>
    <w:rsid w:val="00464577"/>
    <w:rsid w:val="00466258"/>
    <w:rsid w:val="00475479"/>
    <w:rsid w:val="00475976"/>
    <w:rsid w:val="0048310C"/>
    <w:rsid w:val="00483567"/>
    <w:rsid w:val="00486CA7"/>
    <w:rsid w:val="004A010C"/>
    <w:rsid w:val="004A71E7"/>
    <w:rsid w:val="004B38B8"/>
    <w:rsid w:val="004B4044"/>
    <w:rsid w:val="004B54B6"/>
    <w:rsid w:val="004B5DC8"/>
    <w:rsid w:val="004B5DF1"/>
    <w:rsid w:val="004C34DF"/>
    <w:rsid w:val="004E0313"/>
    <w:rsid w:val="004E0D6D"/>
    <w:rsid w:val="004E268A"/>
    <w:rsid w:val="004F41E6"/>
    <w:rsid w:val="004F5F91"/>
    <w:rsid w:val="005034CB"/>
    <w:rsid w:val="0050375E"/>
    <w:rsid w:val="0050405B"/>
    <w:rsid w:val="0052444A"/>
    <w:rsid w:val="005278C7"/>
    <w:rsid w:val="00532534"/>
    <w:rsid w:val="00532D58"/>
    <w:rsid w:val="00536CA4"/>
    <w:rsid w:val="00541B5C"/>
    <w:rsid w:val="00543D0E"/>
    <w:rsid w:val="005469E6"/>
    <w:rsid w:val="005614CC"/>
    <w:rsid w:val="005649DB"/>
    <w:rsid w:val="005663A4"/>
    <w:rsid w:val="005670D1"/>
    <w:rsid w:val="00567118"/>
    <w:rsid w:val="005727A0"/>
    <w:rsid w:val="005857CE"/>
    <w:rsid w:val="00586612"/>
    <w:rsid w:val="00590641"/>
    <w:rsid w:val="00590A81"/>
    <w:rsid w:val="00595958"/>
    <w:rsid w:val="005A3DBF"/>
    <w:rsid w:val="005B709F"/>
    <w:rsid w:val="005E3E38"/>
    <w:rsid w:val="005F5D44"/>
    <w:rsid w:val="005F6AA2"/>
    <w:rsid w:val="006009F7"/>
    <w:rsid w:val="00603F6E"/>
    <w:rsid w:val="00604C02"/>
    <w:rsid w:val="006105A8"/>
    <w:rsid w:val="00611B41"/>
    <w:rsid w:val="00611D30"/>
    <w:rsid w:val="00616829"/>
    <w:rsid w:val="0062390C"/>
    <w:rsid w:val="00624FD4"/>
    <w:rsid w:val="00625117"/>
    <w:rsid w:val="006301AA"/>
    <w:rsid w:val="00636892"/>
    <w:rsid w:val="0063777C"/>
    <w:rsid w:val="006425C2"/>
    <w:rsid w:val="00646FDF"/>
    <w:rsid w:val="00647AC7"/>
    <w:rsid w:val="00651A21"/>
    <w:rsid w:val="00655F9F"/>
    <w:rsid w:val="00660D4E"/>
    <w:rsid w:val="006728B4"/>
    <w:rsid w:val="006748B7"/>
    <w:rsid w:val="00675243"/>
    <w:rsid w:val="006A01E9"/>
    <w:rsid w:val="006A1839"/>
    <w:rsid w:val="006A1DD5"/>
    <w:rsid w:val="006A4550"/>
    <w:rsid w:val="006C35CF"/>
    <w:rsid w:val="006C452B"/>
    <w:rsid w:val="006C4F38"/>
    <w:rsid w:val="006C7E82"/>
    <w:rsid w:val="006D1538"/>
    <w:rsid w:val="006D2052"/>
    <w:rsid w:val="006E2EBE"/>
    <w:rsid w:val="006E65B3"/>
    <w:rsid w:val="006F0D6C"/>
    <w:rsid w:val="006F1DAD"/>
    <w:rsid w:val="0070479A"/>
    <w:rsid w:val="0070539D"/>
    <w:rsid w:val="00705F25"/>
    <w:rsid w:val="0071495A"/>
    <w:rsid w:val="0072761F"/>
    <w:rsid w:val="007337CC"/>
    <w:rsid w:val="00733902"/>
    <w:rsid w:val="00745B1A"/>
    <w:rsid w:val="007470CA"/>
    <w:rsid w:val="00751DB6"/>
    <w:rsid w:val="00764250"/>
    <w:rsid w:val="0077336E"/>
    <w:rsid w:val="00775731"/>
    <w:rsid w:val="0078350F"/>
    <w:rsid w:val="00793431"/>
    <w:rsid w:val="007B0C71"/>
    <w:rsid w:val="007B1295"/>
    <w:rsid w:val="007C41B9"/>
    <w:rsid w:val="007C6348"/>
    <w:rsid w:val="007D1F03"/>
    <w:rsid w:val="007D30C8"/>
    <w:rsid w:val="00817BBE"/>
    <w:rsid w:val="00830481"/>
    <w:rsid w:val="008327E1"/>
    <w:rsid w:val="00832C20"/>
    <w:rsid w:val="008358C1"/>
    <w:rsid w:val="008370F1"/>
    <w:rsid w:val="00842655"/>
    <w:rsid w:val="00842DFE"/>
    <w:rsid w:val="00846A96"/>
    <w:rsid w:val="008519F0"/>
    <w:rsid w:val="008537E1"/>
    <w:rsid w:val="00857997"/>
    <w:rsid w:val="00865240"/>
    <w:rsid w:val="00874C74"/>
    <w:rsid w:val="00885499"/>
    <w:rsid w:val="0089038C"/>
    <w:rsid w:val="00890C75"/>
    <w:rsid w:val="00895E2A"/>
    <w:rsid w:val="008B3B8D"/>
    <w:rsid w:val="008B7267"/>
    <w:rsid w:val="008B7CA9"/>
    <w:rsid w:val="008C1547"/>
    <w:rsid w:val="008D3716"/>
    <w:rsid w:val="008E2B0E"/>
    <w:rsid w:val="008E6A13"/>
    <w:rsid w:val="008F1A69"/>
    <w:rsid w:val="0090534A"/>
    <w:rsid w:val="009059E9"/>
    <w:rsid w:val="00906391"/>
    <w:rsid w:val="00913A73"/>
    <w:rsid w:val="009146E9"/>
    <w:rsid w:val="00914DDC"/>
    <w:rsid w:val="00917BB4"/>
    <w:rsid w:val="00926304"/>
    <w:rsid w:val="00936C19"/>
    <w:rsid w:val="009643D8"/>
    <w:rsid w:val="00966A72"/>
    <w:rsid w:val="00973E6C"/>
    <w:rsid w:val="009834FB"/>
    <w:rsid w:val="00987B07"/>
    <w:rsid w:val="00990AB8"/>
    <w:rsid w:val="00993ED7"/>
    <w:rsid w:val="00996EBC"/>
    <w:rsid w:val="009A1A66"/>
    <w:rsid w:val="009A6C28"/>
    <w:rsid w:val="009A6E3C"/>
    <w:rsid w:val="009B1578"/>
    <w:rsid w:val="009B549B"/>
    <w:rsid w:val="009C696D"/>
    <w:rsid w:val="009C76C9"/>
    <w:rsid w:val="009D7233"/>
    <w:rsid w:val="009E2B26"/>
    <w:rsid w:val="009E35B2"/>
    <w:rsid w:val="009E4B46"/>
    <w:rsid w:val="009E6076"/>
    <w:rsid w:val="00A05638"/>
    <w:rsid w:val="00A06C5B"/>
    <w:rsid w:val="00A10940"/>
    <w:rsid w:val="00A160CF"/>
    <w:rsid w:val="00A27FAA"/>
    <w:rsid w:val="00A3652F"/>
    <w:rsid w:val="00A369B4"/>
    <w:rsid w:val="00A41097"/>
    <w:rsid w:val="00A427AA"/>
    <w:rsid w:val="00A52D07"/>
    <w:rsid w:val="00A5466D"/>
    <w:rsid w:val="00A56371"/>
    <w:rsid w:val="00A60F70"/>
    <w:rsid w:val="00A61E24"/>
    <w:rsid w:val="00A670A4"/>
    <w:rsid w:val="00A70715"/>
    <w:rsid w:val="00A74F97"/>
    <w:rsid w:val="00A7620D"/>
    <w:rsid w:val="00A76FC5"/>
    <w:rsid w:val="00A8200C"/>
    <w:rsid w:val="00A8335D"/>
    <w:rsid w:val="00A87CD7"/>
    <w:rsid w:val="00A92CBC"/>
    <w:rsid w:val="00AA33D0"/>
    <w:rsid w:val="00AB3A0C"/>
    <w:rsid w:val="00AB7959"/>
    <w:rsid w:val="00AC1EDA"/>
    <w:rsid w:val="00AC2BF3"/>
    <w:rsid w:val="00AC3F91"/>
    <w:rsid w:val="00AC78C5"/>
    <w:rsid w:val="00AD06E4"/>
    <w:rsid w:val="00AD137E"/>
    <w:rsid w:val="00AD4FD8"/>
    <w:rsid w:val="00AD5801"/>
    <w:rsid w:val="00AE0FD6"/>
    <w:rsid w:val="00AF1485"/>
    <w:rsid w:val="00B0054B"/>
    <w:rsid w:val="00B10078"/>
    <w:rsid w:val="00B10220"/>
    <w:rsid w:val="00B13A13"/>
    <w:rsid w:val="00B44A21"/>
    <w:rsid w:val="00B53541"/>
    <w:rsid w:val="00B73084"/>
    <w:rsid w:val="00B76AA2"/>
    <w:rsid w:val="00B8158B"/>
    <w:rsid w:val="00B82BEF"/>
    <w:rsid w:val="00B83939"/>
    <w:rsid w:val="00B84667"/>
    <w:rsid w:val="00B860E9"/>
    <w:rsid w:val="00B86A74"/>
    <w:rsid w:val="00B934DE"/>
    <w:rsid w:val="00B97540"/>
    <w:rsid w:val="00B97C3A"/>
    <w:rsid w:val="00BA57E8"/>
    <w:rsid w:val="00BB6B20"/>
    <w:rsid w:val="00BC2D8B"/>
    <w:rsid w:val="00BC2E82"/>
    <w:rsid w:val="00BD2B45"/>
    <w:rsid w:val="00BD6D97"/>
    <w:rsid w:val="00BE4C8F"/>
    <w:rsid w:val="00BE76F7"/>
    <w:rsid w:val="00BF0D4E"/>
    <w:rsid w:val="00C00F4A"/>
    <w:rsid w:val="00C07614"/>
    <w:rsid w:val="00C2261F"/>
    <w:rsid w:val="00C24B08"/>
    <w:rsid w:val="00C35534"/>
    <w:rsid w:val="00C36DE8"/>
    <w:rsid w:val="00C425A6"/>
    <w:rsid w:val="00C43ECB"/>
    <w:rsid w:val="00C467E7"/>
    <w:rsid w:val="00C47AA6"/>
    <w:rsid w:val="00C5137E"/>
    <w:rsid w:val="00C51787"/>
    <w:rsid w:val="00C70D33"/>
    <w:rsid w:val="00C71395"/>
    <w:rsid w:val="00C8316D"/>
    <w:rsid w:val="00C85128"/>
    <w:rsid w:val="00C87F72"/>
    <w:rsid w:val="00C919A4"/>
    <w:rsid w:val="00CB7929"/>
    <w:rsid w:val="00CC2E82"/>
    <w:rsid w:val="00CC5202"/>
    <w:rsid w:val="00CC5E21"/>
    <w:rsid w:val="00CD464C"/>
    <w:rsid w:val="00CE23D8"/>
    <w:rsid w:val="00CE386B"/>
    <w:rsid w:val="00CF2B56"/>
    <w:rsid w:val="00CF33A9"/>
    <w:rsid w:val="00D06C39"/>
    <w:rsid w:val="00D12555"/>
    <w:rsid w:val="00D32036"/>
    <w:rsid w:val="00D32942"/>
    <w:rsid w:val="00D35874"/>
    <w:rsid w:val="00D459C3"/>
    <w:rsid w:val="00D5206B"/>
    <w:rsid w:val="00D5212A"/>
    <w:rsid w:val="00D670A8"/>
    <w:rsid w:val="00D7550F"/>
    <w:rsid w:val="00D81F3D"/>
    <w:rsid w:val="00D859AC"/>
    <w:rsid w:val="00D91FFA"/>
    <w:rsid w:val="00D935F6"/>
    <w:rsid w:val="00DA5433"/>
    <w:rsid w:val="00DB287A"/>
    <w:rsid w:val="00DB4B7A"/>
    <w:rsid w:val="00DB74D8"/>
    <w:rsid w:val="00DD3780"/>
    <w:rsid w:val="00DD4D40"/>
    <w:rsid w:val="00DD6B30"/>
    <w:rsid w:val="00DD6EF8"/>
    <w:rsid w:val="00DD7CA7"/>
    <w:rsid w:val="00DE1028"/>
    <w:rsid w:val="00DE15F8"/>
    <w:rsid w:val="00DF5426"/>
    <w:rsid w:val="00E15BF9"/>
    <w:rsid w:val="00E2148B"/>
    <w:rsid w:val="00E252B3"/>
    <w:rsid w:val="00E25D40"/>
    <w:rsid w:val="00E50647"/>
    <w:rsid w:val="00E545FA"/>
    <w:rsid w:val="00E55516"/>
    <w:rsid w:val="00E566F9"/>
    <w:rsid w:val="00E67406"/>
    <w:rsid w:val="00E67D21"/>
    <w:rsid w:val="00E705DF"/>
    <w:rsid w:val="00E72B24"/>
    <w:rsid w:val="00E73953"/>
    <w:rsid w:val="00E86FDC"/>
    <w:rsid w:val="00E907B3"/>
    <w:rsid w:val="00E956AD"/>
    <w:rsid w:val="00EA15C0"/>
    <w:rsid w:val="00EA47F4"/>
    <w:rsid w:val="00EA6FFD"/>
    <w:rsid w:val="00EA7280"/>
    <w:rsid w:val="00EC14BE"/>
    <w:rsid w:val="00EC39C8"/>
    <w:rsid w:val="00ED04FA"/>
    <w:rsid w:val="00EE0CCD"/>
    <w:rsid w:val="00EE23A3"/>
    <w:rsid w:val="00EF0158"/>
    <w:rsid w:val="00EF1E98"/>
    <w:rsid w:val="00EF3A69"/>
    <w:rsid w:val="00EF3C02"/>
    <w:rsid w:val="00EF6223"/>
    <w:rsid w:val="00EF7BF6"/>
    <w:rsid w:val="00F032E4"/>
    <w:rsid w:val="00F03ADE"/>
    <w:rsid w:val="00F05447"/>
    <w:rsid w:val="00F07776"/>
    <w:rsid w:val="00F17049"/>
    <w:rsid w:val="00F26A0C"/>
    <w:rsid w:val="00F27DE1"/>
    <w:rsid w:val="00F53047"/>
    <w:rsid w:val="00F531EF"/>
    <w:rsid w:val="00F56963"/>
    <w:rsid w:val="00F6577E"/>
    <w:rsid w:val="00F66646"/>
    <w:rsid w:val="00F66C40"/>
    <w:rsid w:val="00F7309A"/>
    <w:rsid w:val="00F80490"/>
    <w:rsid w:val="00F96C44"/>
    <w:rsid w:val="00FA079A"/>
    <w:rsid w:val="00FA5E74"/>
    <w:rsid w:val="00FC16AC"/>
    <w:rsid w:val="00FC2646"/>
    <w:rsid w:val="00FC47F3"/>
    <w:rsid w:val="00FC58F0"/>
    <w:rsid w:val="00FD34FD"/>
    <w:rsid w:val="00FE2840"/>
    <w:rsid w:val="00FE497F"/>
    <w:rsid w:val="00FF26CF"/>
    <w:rsid w:val="00FF418E"/>
    <w:rsid w:val="00FF6F4D"/>
    <w:rsid w:val="0184004D"/>
    <w:rsid w:val="03985C95"/>
    <w:rsid w:val="042D3ED1"/>
    <w:rsid w:val="067F72BB"/>
    <w:rsid w:val="06C756C0"/>
    <w:rsid w:val="076441E1"/>
    <w:rsid w:val="091C1603"/>
    <w:rsid w:val="09704CA9"/>
    <w:rsid w:val="0A080BE9"/>
    <w:rsid w:val="0A176A49"/>
    <w:rsid w:val="0B9E51ED"/>
    <w:rsid w:val="0BE22AA9"/>
    <w:rsid w:val="0C3012A7"/>
    <w:rsid w:val="0C484369"/>
    <w:rsid w:val="0CC1392A"/>
    <w:rsid w:val="0E456F15"/>
    <w:rsid w:val="0EB323CB"/>
    <w:rsid w:val="13115C6F"/>
    <w:rsid w:val="148F77FB"/>
    <w:rsid w:val="1502107F"/>
    <w:rsid w:val="157E459B"/>
    <w:rsid w:val="17CA4EA4"/>
    <w:rsid w:val="18176B8A"/>
    <w:rsid w:val="195A3683"/>
    <w:rsid w:val="1A724C63"/>
    <w:rsid w:val="1BE645B7"/>
    <w:rsid w:val="1C3514ED"/>
    <w:rsid w:val="1CD56C5B"/>
    <w:rsid w:val="1D04361F"/>
    <w:rsid w:val="1D153D64"/>
    <w:rsid w:val="1D1B6745"/>
    <w:rsid w:val="1DBC6F7D"/>
    <w:rsid w:val="1F9E335D"/>
    <w:rsid w:val="202B5A84"/>
    <w:rsid w:val="20305012"/>
    <w:rsid w:val="204C24BC"/>
    <w:rsid w:val="208F04F9"/>
    <w:rsid w:val="20986F38"/>
    <w:rsid w:val="210F0BC4"/>
    <w:rsid w:val="21D84343"/>
    <w:rsid w:val="21E42A91"/>
    <w:rsid w:val="21F70A73"/>
    <w:rsid w:val="251539F3"/>
    <w:rsid w:val="25AC47D8"/>
    <w:rsid w:val="26F54FFA"/>
    <w:rsid w:val="27020AB1"/>
    <w:rsid w:val="275E309D"/>
    <w:rsid w:val="27FE089D"/>
    <w:rsid w:val="29FA3B55"/>
    <w:rsid w:val="2C757AC5"/>
    <w:rsid w:val="2C844868"/>
    <w:rsid w:val="2CEC29D1"/>
    <w:rsid w:val="2D736B0E"/>
    <w:rsid w:val="2DB770D2"/>
    <w:rsid w:val="2DEE4BEE"/>
    <w:rsid w:val="2E852ACB"/>
    <w:rsid w:val="2F987B1F"/>
    <w:rsid w:val="2F9C6015"/>
    <w:rsid w:val="2FD24F79"/>
    <w:rsid w:val="30975C14"/>
    <w:rsid w:val="30FC073F"/>
    <w:rsid w:val="32153CD3"/>
    <w:rsid w:val="330B3B1C"/>
    <w:rsid w:val="354D4728"/>
    <w:rsid w:val="39287B47"/>
    <w:rsid w:val="399C4CA5"/>
    <w:rsid w:val="39E83828"/>
    <w:rsid w:val="3AFB25BE"/>
    <w:rsid w:val="3BC95A49"/>
    <w:rsid w:val="3C9C24D5"/>
    <w:rsid w:val="3CC01156"/>
    <w:rsid w:val="3D392036"/>
    <w:rsid w:val="3D5C6C54"/>
    <w:rsid w:val="3D7F12B4"/>
    <w:rsid w:val="3E1B442C"/>
    <w:rsid w:val="3EA348A2"/>
    <w:rsid w:val="3F12774A"/>
    <w:rsid w:val="41E613D8"/>
    <w:rsid w:val="42004ACB"/>
    <w:rsid w:val="42EA07B0"/>
    <w:rsid w:val="43D65BF9"/>
    <w:rsid w:val="44246C69"/>
    <w:rsid w:val="44632243"/>
    <w:rsid w:val="4605550D"/>
    <w:rsid w:val="464B3712"/>
    <w:rsid w:val="46543DAE"/>
    <w:rsid w:val="487A2CCC"/>
    <w:rsid w:val="491412E4"/>
    <w:rsid w:val="49443E68"/>
    <w:rsid w:val="497C4D20"/>
    <w:rsid w:val="4A041F8D"/>
    <w:rsid w:val="4AA224DA"/>
    <w:rsid w:val="4AC02403"/>
    <w:rsid w:val="4B005361"/>
    <w:rsid w:val="4D9D7460"/>
    <w:rsid w:val="4DBC57E6"/>
    <w:rsid w:val="4E77723B"/>
    <w:rsid w:val="4F9B50BC"/>
    <w:rsid w:val="50DB47E6"/>
    <w:rsid w:val="50E15AE3"/>
    <w:rsid w:val="524165B3"/>
    <w:rsid w:val="532D34DE"/>
    <w:rsid w:val="537F6754"/>
    <w:rsid w:val="539E1708"/>
    <w:rsid w:val="53E01A4C"/>
    <w:rsid w:val="54124B68"/>
    <w:rsid w:val="55F44181"/>
    <w:rsid w:val="564D4BAA"/>
    <w:rsid w:val="56C515D7"/>
    <w:rsid w:val="58372CFF"/>
    <w:rsid w:val="587B589D"/>
    <w:rsid w:val="596D6964"/>
    <w:rsid w:val="59BC69FA"/>
    <w:rsid w:val="59FC4EE4"/>
    <w:rsid w:val="5B42015F"/>
    <w:rsid w:val="5B714C55"/>
    <w:rsid w:val="5CCD386B"/>
    <w:rsid w:val="5CDE4F17"/>
    <w:rsid w:val="5D8172B1"/>
    <w:rsid w:val="5EDD5A64"/>
    <w:rsid w:val="5F156E8F"/>
    <w:rsid w:val="5F600658"/>
    <w:rsid w:val="5F874A82"/>
    <w:rsid w:val="61041528"/>
    <w:rsid w:val="61935802"/>
    <w:rsid w:val="624D0074"/>
    <w:rsid w:val="62CE083B"/>
    <w:rsid w:val="63217177"/>
    <w:rsid w:val="63390A26"/>
    <w:rsid w:val="63E31E2F"/>
    <w:rsid w:val="65F40222"/>
    <w:rsid w:val="66540216"/>
    <w:rsid w:val="665B105B"/>
    <w:rsid w:val="669E087C"/>
    <w:rsid w:val="68472EBC"/>
    <w:rsid w:val="68833CC8"/>
    <w:rsid w:val="68A54D06"/>
    <w:rsid w:val="692F0FFC"/>
    <w:rsid w:val="6ABE32D0"/>
    <w:rsid w:val="6B6718BC"/>
    <w:rsid w:val="6B9D28F9"/>
    <w:rsid w:val="6BD31BBE"/>
    <w:rsid w:val="6C14552B"/>
    <w:rsid w:val="6C2D028D"/>
    <w:rsid w:val="6C8E2EF0"/>
    <w:rsid w:val="6EC27914"/>
    <w:rsid w:val="6F741F73"/>
    <w:rsid w:val="6F921C3F"/>
    <w:rsid w:val="6FD9755C"/>
    <w:rsid w:val="70676905"/>
    <w:rsid w:val="706773D6"/>
    <w:rsid w:val="70E70348"/>
    <w:rsid w:val="710A2D64"/>
    <w:rsid w:val="73613DFE"/>
    <w:rsid w:val="749475D7"/>
    <w:rsid w:val="75B046D3"/>
    <w:rsid w:val="762B5512"/>
    <w:rsid w:val="76990F77"/>
    <w:rsid w:val="77B128B3"/>
    <w:rsid w:val="7DFE4AD2"/>
    <w:rsid w:val="FEAF03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rPr>
      <w:sz w:val="24"/>
    </w:rPr>
  </w:style>
  <w:style w:type="paragraph" w:styleId="4">
    <w:name w:val="Body Text"/>
    <w:basedOn w:val="1"/>
    <w:link w:val="17"/>
    <w:qFormat/>
    <w:uiPriority w:val="99"/>
    <w:rPr>
      <w:kern w:val="0"/>
      <w:sz w:val="24"/>
    </w:rPr>
  </w:style>
  <w:style w:type="paragraph" w:styleId="5">
    <w:name w:val="Date"/>
    <w:basedOn w:val="1"/>
    <w:next w:val="1"/>
    <w:link w:val="22"/>
    <w:qFormat/>
    <w:uiPriority w:val="99"/>
    <w:pPr>
      <w:ind w:left="100" w:leftChars="2500"/>
    </w:pPr>
    <w:rPr>
      <w:sz w:val="24"/>
    </w:rPr>
  </w:style>
  <w:style w:type="paragraph" w:styleId="6">
    <w:name w:val="Balloon Text"/>
    <w:basedOn w:val="1"/>
    <w:link w:val="20"/>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19"/>
    <w:qFormat/>
    <w:uiPriority w:val="99"/>
    <w:rPr>
      <w:b/>
      <w:bCs/>
    </w:rPr>
  </w:style>
  <w:style w:type="character" w:styleId="12">
    <w:name w:val="page number"/>
    <w:qFormat/>
    <w:uiPriority w:val="99"/>
    <w:rPr>
      <w:rFonts w:cs="Times New Roman"/>
    </w:rPr>
  </w:style>
  <w:style w:type="character" w:styleId="13">
    <w:name w:val="Emphasis"/>
    <w:qFormat/>
    <w:uiPriority w:val="99"/>
    <w:rPr>
      <w:rFonts w:cs="Times New Roman"/>
      <w:color w:val="CC0000"/>
    </w:rPr>
  </w:style>
  <w:style w:type="character" w:styleId="14">
    <w:name w:val="annotation reference"/>
    <w:qFormat/>
    <w:uiPriority w:val="99"/>
    <w:rPr>
      <w:rFonts w:cs="Times New Roman"/>
      <w:sz w:val="21"/>
    </w:rPr>
  </w:style>
  <w:style w:type="character" w:customStyle="1" w:styleId="15">
    <w:name w:val="页眉 Char"/>
    <w:link w:val="8"/>
    <w:semiHidden/>
    <w:qFormat/>
    <w:locked/>
    <w:uiPriority w:val="99"/>
    <w:rPr>
      <w:sz w:val="18"/>
    </w:rPr>
  </w:style>
  <w:style w:type="character" w:customStyle="1" w:styleId="16">
    <w:name w:val="页脚 Char"/>
    <w:link w:val="7"/>
    <w:qFormat/>
    <w:locked/>
    <w:uiPriority w:val="99"/>
    <w:rPr>
      <w:sz w:val="18"/>
    </w:rPr>
  </w:style>
  <w:style w:type="character" w:customStyle="1" w:styleId="17">
    <w:name w:val="正文文本 Char"/>
    <w:link w:val="4"/>
    <w:semiHidden/>
    <w:qFormat/>
    <w:locked/>
    <w:uiPriority w:val="99"/>
    <w:rPr>
      <w:sz w:val="24"/>
    </w:rPr>
  </w:style>
  <w:style w:type="character" w:customStyle="1" w:styleId="18">
    <w:name w:val="批注文字 Char"/>
    <w:link w:val="3"/>
    <w:qFormat/>
    <w:locked/>
    <w:uiPriority w:val="99"/>
    <w:rPr>
      <w:kern w:val="2"/>
      <w:sz w:val="24"/>
    </w:rPr>
  </w:style>
  <w:style w:type="character" w:customStyle="1" w:styleId="19">
    <w:name w:val="批注主题 Char"/>
    <w:link w:val="9"/>
    <w:qFormat/>
    <w:locked/>
    <w:uiPriority w:val="99"/>
    <w:rPr>
      <w:b/>
      <w:kern w:val="2"/>
      <w:sz w:val="24"/>
    </w:rPr>
  </w:style>
  <w:style w:type="character" w:customStyle="1" w:styleId="20">
    <w:name w:val="批注框文本 Char"/>
    <w:link w:val="6"/>
    <w:qFormat/>
    <w:locked/>
    <w:uiPriority w:val="99"/>
    <w:rPr>
      <w:kern w:val="2"/>
      <w:sz w:val="18"/>
    </w:rPr>
  </w:style>
  <w:style w:type="paragraph" w:customStyle="1" w:styleId="21">
    <w:name w:val="列出段落1"/>
    <w:basedOn w:val="1"/>
    <w:qFormat/>
    <w:uiPriority w:val="1"/>
    <w:pPr>
      <w:ind w:firstLine="420" w:firstLineChars="200"/>
    </w:pPr>
  </w:style>
  <w:style w:type="character" w:customStyle="1" w:styleId="22">
    <w:name w:val="日期 Char"/>
    <w:link w:val="5"/>
    <w:qFormat/>
    <w:locked/>
    <w:uiPriority w:val="99"/>
    <w:rPr>
      <w:kern w:val="2"/>
      <w:sz w:val="24"/>
    </w:rPr>
  </w:style>
  <w:style w:type="paragraph" w:customStyle="1" w:styleId="23">
    <w:name w:val="纯文本1"/>
    <w:basedOn w:val="1"/>
    <w:qFormat/>
    <w:uiPriority w:val="0"/>
    <w:pPr>
      <w:adjustRightInd w:val="0"/>
    </w:pPr>
    <w:rPr>
      <w:rFonts w:hint="eastAsia" w:ascii="宋体" w:hAnsi="Courier New"/>
      <w:szCs w:val="20"/>
    </w:rPr>
  </w:style>
  <w:style w:type="paragraph" w:customStyle="1" w:styleId="24">
    <w:name w:val="其他发布部门"/>
    <w:basedOn w:val="25"/>
    <w:qFormat/>
    <w:uiPriority w:val="0"/>
    <w:pPr>
      <w:framePr w:y="15310"/>
      <w:spacing w:line="0" w:lineRule="atLeast"/>
    </w:pPr>
    <w:rPr>
      <w:rFonts w:ascii="黑体" w:eastAsia="黑体"/>
      <w:b w:val="0"/>
    </w:rPr>
  </w:style>
  <w:style w:type="paragraph" w:customStyle="1" w:styleId="25">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28">
    <w:name w:val="发布"/>
    <w:basedOn w:val="11"/>
    <w:qFormat/>
    <w:uiPriority w:val="0"/>
    <w:rPr>
      <w:rFonts w:ascii="黑体" w:eastAsia="黑体"/>
      <w:spacing w:val="22"/>
      <w:w w:val="100"/>
      <w:position w:val="3"/>
      <w:sz w:val="28"/>
    </w:rPr>
  </w:style>
  <w:style w:type="character" w:customStyle="1" w:styleId="29">
    <w:name w:val="标题 1 Char"/>
    <w:basedOn w:val="11"/>
    <w:link w:val="2"/>
    <w:qFormat/>
    <w:uiPriority w:val="0"/>
    <w:rPr>
      <w:rFonts w:ascii="宋体" w:hAnsi="宋体"/>
      <w:b/>
      <w:kern w:val="44"/>
      <w:sz w:val="48"/>
      <w:szCs w:val="48"/>
    </w:rPr>
  </w:style>
  <w:style w:type="paragraph" w:customStyle="1" w:styleId="30">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562</Words>
  <Characters>3208</Characters>
  <Lines>26</Lines>
  <Paragraphs>7</Paragraphs>
  <TotalTime>75</TotalTime>
  <ScaleCrop>false</ScaleCrop>
  <LinksUpToDate>false</LinksUpToDate>
  <CharactersWithSpaces>3763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2022-10-23T15:45:00Z</dcterms:created>
  <dc:creator>微软用户</dc:creator>
  <cp:lastModifiedBy>ysq</cp:lastModifiedBy>
  <cp:lastPrinted>2022-11-01T14:56:00Z</cp:lastPrinted>
  <dcterms:modified xsi:type="dcterms:W3CDTF">2023-01-29T16:29:13Z</dcterms:modified>
  <dc:title>Q/MTJ</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1D6D1D4544E74FAFA7478902FCDFB711</vt:lpwstr>
  </property>
</Properties>
</file>